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59" w:lineRule="auto"/>
      </w:pPr>
      <w:r>
        <w:rPr/>
        <w:t>Brand Experience and Brand Loyalty : A Case of</w:t>
      </w:r>
      <w:r>
        <w:rPr>
          <w:spacing w:val="-68"/>
        </w:rPr>
        <w:t> </w:t>
      </w:r>
      <w:r>
        <w:rPr/>
        <w:t>Smartphone Brand</w:t>
      </w:r>
      <w:r>
        <w:rPr>
          <w:spacing w:val="2"/>
        </w:rPr>
        <w:t> </w:t>
      </w:r>
      <w:r>
        <w:rPr/>
        <w:t>in Indonesia</w:t>
      </w:r>
    </w:p>
    <w:p>
      <w:pPr>
        <w:pStyle w:val="BodyText"/>
        <w:spacing w:before="9"/>
        <w:ind w:left="0"/>
        <w:jc w:val="left"/>
        <w:rPr>
          <w:b/>
          <w:sz w:val="23"/>
        </w:rPr>
      </w:pPr>
    </w:p>
    <w:p>
      <w:pPr>
        <w:pStyle w:val="Heading1"/>
        <w:spacing w:line="240" w:lineRule="auto"/>
        <w:ind w:left="1824" w:right="1708"/>
        <w:jc w:val="center"/>
      </w:pPr>
      <w:r>
        <w:rPr/>
        <w:t>Sugianto</w:t>
      </w:r>
      <w:r>
        <w:rPr>
          <w:spacing w:val="-6"/>
        </w:rPr>
        <w:t> </w:t>
      </w:r>
      <w:r>
        <w:rPr/>
        <w:t>Sugianto</w:t>
      </w:r>
      <w:r>
        <w:rPr>
          <w:vertAlign w:val="superscript"/>
        </w:rPr>
        <w:t>1</w:t>
      </w:r>
      <w:r>
        <w:rPr>
          <w:vertAlign w:val="baseline"/>
        </w:rPr>
        <w:t>,</w:t>
      </w:r>
      <w:r>
        <w:rPr>
          <w:spacing w:val="-2"/>
          <w:vertAlign w:val="baseline"/>
        </w:rPr>
        <w:t> </w:t>
      </w:r>
      <w:r>
        <w:rPr>
          <w:vertAlign w:val="baseline"/>
        </w:rPr>
        <w:t>Vivi</w:t>
      </w:r>
      <w:r>
        <w:rPr>
          <w:spacing w:val="-1"/>
          <w:vertAlign w:val="baseline"/>
        </w:rPr>
        <w:t> </w:t>
      </w:r>
      <w:r>
        <w:rPr>
          <w:vertAlign w:val="baseline"/>
        </w:rPr>
        <w:t>Vivi</w:t>
      </w:r>
      <w:r>
        <w:rPr>
          <w:vertAlign w:val="superscript"/>
        </w:rPr>
        <w:t>2</w:t>
      </w:r>
    </w:p>
    <w:p>
      <w:pPr>
        <w:spacing w:line="261" w:lineRule="auto" w:before="15"/>
        <w:ind w:left="3789" w:right="3676" w:firstLine="0"/>
        <w:jc w:val="center"/>
        <w:rPr>
          <w:sz w:val="16"/>
        </w:rPr>
      </w:pPr>
      <w:r>
        <w:rPr>
          <w:spacing w:val="-2"/>
          <w:sz w:val="16"/>
          <w:vertAlign w:val="superscript"/>
        </w:rPr>
        <w:t>1,2</w:t>
      </w:r>
      <w:r>
        <w:rPr>
          <w:spacing w:val="-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Politeknik Tonggak Equator</w:t>
      </w:r>
      <w:r>
        <w:rPr>
          <w:spacing w:val="-37"/>
          <w:sz w:val="16"/>
          <w:vertAlign w:val="baseline"/>
        </w:rPr>
        <w:t> </w:t>
      </w:r>
      <w:r>
        <w:rPr>
          <w:sz w:val="16"/>
          <w:vertAlign w:val="baseline"/>
        </w:rPr>
        <w:t>Email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:</w:t>
      </w:r>
      <w:r>
        <w:rPr>
          <w:spacing w:val="-5"/>
          <w:sz w:val="16"/>
          <w:vertAlign w:val="baseline"/>
        </w:rPr>
        <w:t> </w:t>
      </w:r>
      <w:hyperlink r:id="rId6">
        <w:r>
          <w:rPr>
            <w:sz w:val="16"/>
            <w:vertAlign w:val="baseline"/>
          </w:rPr>
          <w:t>sugianto@polteq.ac.id</w:t>
        </w:r>
      </w:hyperlink>
    </w:p>
    <w:p>
      <w:pPr>
        <w:pStyle w:val="BodyText"/>
        <w:spacing w:before="7"/>
        <w:ind w:left="0"/>
        <w:jc w:val="left"/>
        <w:rPr>
          <w:sz w:val="21"/>
        </w:rPr>
      </w:pPr>
    </w:p>
    <w:p>
      <w:pPr>
        <w:spacing w:before="0"/>
        <w:ind w:left="1513" w:right="1389" w:firstLine="0"/>
        <w:jc w:val="both"/>
        <w:rPr>
          <w:i/>
          <w:sz w:val="24"/>
        </w:rPr>
      </w:pPr>
      <w:r>
        <w:rPr>
          <w:b/>
          <w:i/>
          <w:sz w:val="24"/>
        </w:rPr>
        <w:t>Abstract</w:t>
      </w:r>
      <w:r>
        <w:rPr>
          <w:b/>
          <w:i/>
          <w:spacing w:val="1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aims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investigate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experience, brand commitment, and brand trust on brand loyalty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smartphone brands in Indonesia. The study was conducted using 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online survey. Partial least squares structural equation modeling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used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testing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hypotheses.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data analysis results indicated that brand experience significantly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influenced brand commitment, brand trust and brand loyalty.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 also shows brand commitment has significant influence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brand loyalty. However, the results showed that brand trust has 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significant influence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brand loyalty. Marketing managers 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benefit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dynamics of how brand experience, brand commitment, and brand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trust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build brand loyalty.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BodyText"/>
        <w:ind w:left="1513" w:right="1388"/>
      </w:pPr>
      <w:r>
        <w:rPr>
          <w:b/>
          <w:i/>
        </w:rPr>
        <w:t>Keywords </w:t>
      </w:r>
      <w:r>
        <w:rPr>
          <w:i/>
        </w:rPr>
        <w:t>: </w:t>
      </w:r>
      <w:r>
        <w:rPr/>
        <w:t>Brand Experience, Brand Commitment, Brand Trust,</w:t>
      </w:r>
      <w:r>
        <w:rPr>
          <w:spacing w:val="1"/>
        </w:rPr>
        <w:t> </w:t>
      </w:r>
      <w:r>
        <w:rPr/>
        <w:t>Brand</w:t>
      </w:r>
      <w:r>
        <w:rPr>
          <w:spacing w:val="3"/>
        </w:rPr>
        <w:t> </w:t>
      </w:r>
      <w:r>
        <w:rPr/>
        <w:t>Loyalty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29"/>
        </w:rPr>
      </w:pPr>
    </w:p>
    <w:p>
      <w:pPr>
        <w:pStyle w:val="Heading1"/>
        <w:jc w:val="left"/>
      </w:pPr>
      <w:r>
        <w:rPr/>
        <w:t>Introduction</w:t>
      </w:r>
    </w:p>
    <w:p>
      <w:pPr>
        <w:pStyle w:val="BodyText"/>
        <w:ind w:right="110" w:firstLine="719"/>
      </w:pPr>
      <w:r>
        <w:rPr/>
        <w:t>Over 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decade, brand loyalty research has become a</w:t>
      </w:r>
      <w:r>
        <w:rPr>
          <w:spacing w:val="60"/>
        </w:rPr>
        <w:t> </w:t>
      </w:r>
      <w:r>
        <w:rPr/>
        <w:t>major topic in marketing</w:t>
      </w:r>
      <w:r>
        <w:rPr>
          <w:spacing w:val="1"/>
        </w:rPr>
        <w:t> </w:t>
      </w:r>
      <w:r>
        <w:rPr/>
        <w:t>and consumer research. With the proliferation of the competing brands in the market, keeping</w:t>
      </w:r>
      <w:r>
        <w:rPr>
          <w:spacing w:val="1"/>
        </w:rPr>
        <w:t> </w:t>
      </w:r>
      <w:r>
        <w:rPr/>
        <w:t>consumers loyal is an imperative for marketing managers. Achieving customer loyalty is a</w:t>
      </w:r>
      <w:r>
        <w:rPr>
          <w:spacing w:val="1"/>
        </w:rPr>
        <w:t> </w:t>
      </w:r>
      <w:r>
        <w:rPr/>
        <w:t>central goal for most firms due to its contribution to their profitability and long-term survival.</w:t>
      </w:r>
      <w:r>
        <w:rPr>
          <w:spacing w:val="1"/>
        </w:rPr>
        <w:t> </w:t>
      </w:r>
      <w:r>
        <w:rPr/>
        <w:t>Loyal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word-of-mouth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sensitive and resist competitive offers. Many studies had been focused on brand commitment,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brand trust factor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determinate</w:t>
      </w:r>
      <w:r>
        <w:rPr>
          <w:spacing w:val="1"/>
        </w:rPr>
        <w:t> </w:t>
      </w:r>
      <w:r>
        <w:rPr/>
        <w:t>factor</w:t>
      </w:r>
      <w:r>
        <w:rPr>
          <w:spacing w:val="-1"/>
        </w:rPr>
        <w:t> </w:t>
      </w:r>
      <w:r>
        <w:rPr/>
        <w:t>of loyalty.</w:t>
      </w:r>
    </w:p>
    <w:p>
      <w:pPr>
        <w:pStyle w:val="BodyText"/>
        <w:ind w:right="114" w:firstLine="719"/>
      </w:pPr>
      <w:r>
        <w:rPr/>
        <w:t>Although brand trust and brand commitment are very important constructs for brand</w:t>
      </w:r>
      <w:r>
        <w:rPr>
          <w:spacing w:val="1"/>
        </w:rPr>
        <w:t> </w:t>
      </w:r>
      <w:r>
        <w:rPr/>
        <w:t>experience and loyalty in the relational context. Brand experiences result from stimulations</w:t>
      </w:r>
      <w:r>
        <w:rPr>
          <w:spacing w:val="1"/>
        </w:rPr>
        <w:t> </w:t>
      </w:r>
      <w:r>
        <w:rPr/>
        <w:t>and lead to pleasurable outcomes, and consumers want to repeat these experiences. That is,</w:t>
      </w:r>
      <w:r>
        <w:rPr>
          <w:spacing w:val="1"/>
        </w:rPr>
        <w:t> </w:t>
      </w:r>
      <w:r>
        <w:rPr/>
        <w:t>brand experience should affect not only past-directed commitment judgments but also future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loyalty.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likely to</w:t>
      </w:r>
      <w:r>
        <w:rPr>
          <w:spacing w:val="1"/>
        </w:rPr>
        <w:t> </w:t>
      </w:r>
      <w:r>
        <w:rPr/>
        <w:t>buy a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 it to others and less likely to buy an alternate brand. The main aim of the present</w:t>
      </w:r>
      <w:r>
        <w:rPr>
          <w:spacing w:val="1"/>
        </w:rPr>
        <w:t> </w:t>
      </w:r>
      <w:r>
        <w:rPr/>
        <w:t>study was to test a general framework for building a consumer- brand relationship from an</w:t>
      </w:r>
      <w:r>
        <w:rPr>
          <w:spacing w:val="1"/>
        </w:rPr>
        <w:t> </w:t>
      </w:r>
      <w:r>
        <w:rPr/>
        <w:t>experiential view. Therefore, the objective of this study is to investigate the effects of brand</w:t>
      </w:r>
      <w:r>
        <w:rPr>
          <w:spacing w:val="1"/>
        </w:rPr>
        <w:t> </w:t>
      </w:r>
      <w:r>
        <w:rPr/>
        <w:t>experience,</w:t>
      </w:r>
      <w:r>
        <w:rPr>
          <w:spacing w:val="27"/>
        </w:rPr>
        <w:t> </w:t>
      </w:r>
      <w:r>
        <w:rPr/>
        <w:t>brand</w:t>
      </w:r>
      <w:r>
        <w:rPr>
          <w:spacing w:val="24"/>
        </w:rPr>
        <w:t> </w:t>
      </w:r>
      <w:r>
        <w:rPr/>
        <w:t>commitment,</w:t>
      </w:r>
      <w:r>
        <w:rPr>
          <w:spacing w:val="25"/>
        </w:rPr>
        <w:t> </w:t>
      </w:r>
      <w:r>
        <w:rPr/>
        <w:t>and</w:t>
      </w:r>
      <w:r>
        <w:rPr>
          <w:spacing w:val="28"/>
        </w:rPr>
        <w:t> </w:t>
      </w:r>
      <w:r>
        <w:rPr/>
        <w:t>brand</w:t>
      </w:r>
      <w:r>
        <w:rPr>
          <w:spacing w:val="29"/>
        </w:rPr>
        <w:t> </w:t>
      </w:r>
      <w:r>
        <w:rPr/>
        <w:t>trust</w:t>
      </w:r>
      <w:r>
        <w:rPr>
          <w:spacing w:val="29"/>
        </w:rPr>
        <w:t> </w:t>
      </w:r>
      <w:r>
        <w:rPr/>
        <w:t>on</w:t>
      </w:r>
      <w:r>
        <w:rPr>
          <w:spacing w:val="29"/>
        </w:rPr>
        <w:t> </w:t>
      </w:r>
      <w:r>
        <w:rPr/>
        <w:t>brand</w:t>
      </w:r>
      <w:r>
        <w:rPr>
          <w:spacing w:val="24"/>
        </w:rPr>
        <w:t> </w:t>
      </w:r>
      <w:r>
        <w:rPr/>
        <w:t>loyalty.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achieve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objective,</w:t>
      </w:r>
      <w:r>
        <w:rPr>
          <w:spacing w:val="-58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smartphone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context.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smartphones have overwhelmed the market. According to Central Agency on Statistics, the</w:t>
      </w:r>
      <w:r>
        <w:rPr>
          <w:spacing w:val="1"/>
        </w:rPr>
        <w:t> </w:t>
      </w:r>
      <w:r>
        <w:rPr/>
        <w:t>total number of smartphone users in Indonesia are 341,28 million users in year 2019 and</w:t>
      </w:r>
      <w:r>
        <w:rPr>
          <w:spacing w:val="1"/>
        </w:rPr>
        <w:t> </w:t>
      </w:r>
      <w:r>
        <w:rPr/>
        <w:t>355,62 million users in year 2020. The market growth is 6,84% in year 2019 and 4,20% in</w:t>
      </w:r>
      <w:r>
        <w:rPr>
          <w:spacing w:val="1"/>
        </w:rPr>
        <w:t> </w:t>
      </w:r>
      <w:r>
        <w:rPr/>
        <w:t>year 2020.</w:t>
      </w:r>
      <w:r>
        <w:rPr>
          <w:spacing w:val="60"/>
        </w:rPr>
        <w:t> </w:t>
      </w:r>
      <w:r>
        <w:rPr/>
        <w:t>Given that smartphones have potential growth in Indonesia and brands are a</w:t>
      </w:r>
      <w:r>
        <w:rPr>
          <w:spacing w:val="1"/>
        </w:rPr>
        <w:t> </w:t>
      </w:r>
      <w:r>
        <w:rPr/>
        <w:t>crucial factor in smartphone marketing, the research context is appropriate. The results of this</w:t>
      </w:r>
      <w:r>
        <w:rPr>
          <w:spacing w:val="1"/>
        </w:rPr>
        <w:t> </w:t>
      </w:r>
      <w:r>
        <w:rPr/>
        <w:t>study</w:t>
      </w:r>
      <w:r>
        <w:rPr>
          <w:spacing w:val="-9"/>
        </w:rPr>
        <w:t> </w:t>
      </w:r>
      <w:r>
        <w:rPr/>
        <w:t>may</w:t>
      </w:r>
      <w:r>
        <w:rPr>
          <w:spacing w:val="-8"/>
        </w:rPr>
        <w:t> </w:t>
      </w:r>
      <w:r>
        <w:rPr/>
        <w:t>provide</w:t>
      </w:r>
      <w:r>
        <w:rPr>
          <w:spacing w:val="1"/>
        </w:rPr>
        <w:t> </w:t>
      </w:r>
      <w:r>
        <w:rPr/>
        <w:t>strategic suggestions</w:t>
      </w:r>
      <w:r>
        <w:rPr>
          <w:spacing w:val="-2"/>
        </w:rPr>
        <w:t> </w:t>
      </w:r>
      <w:r>
        <w:rPr/>
        <w:t>for smartphone marketing.</w:t>
      </w:r>
    </w:p>
    <w:p>
      <w:pPr>
        <w:spacing w:after="0"/>
        <w:sectPr>
          <w:footerReference w:type="default" r:id="rId5"/>
          <w:type w:val="continuous"/>
          <w:pgSz w:w="11910" w:h="16840"/>
          <w:pgMar w:footer="998" w:top="1340" w:bottom="1180" w:left="1180" w:right="1300"/>
          <w:pgNumType w:start="1"/>
        </w:sectPr>
      </w:pPr>
    </w:p>
    <w:p>
      <w:pPr>
        <w:pStyle w:val="Heading1"/>
        <w:spacing w:line="240" w:lineRule="auto" w:before="76"/>
      </w:pPr>
      <w:r>
        <w:rPr/>
        <w:t>Literature</w:t>
      </w:r>
      <w:r>
        <w:rPr>
          <w:spacing w:val="-3"/>
        </w:rPr>
        <w:t> </w:t>
      </w:r>
      <w:r>
        <w:rPr/>
        <w:t>Review</w:t>
      </w:r>
    </w:p>
    <w:p>
      <w:pPr>
        <w:pStyle w:val="BodyText"/>
        <w:ind w:left="0"/>
        <w:jc w:val="left"/>
        <w:rPr>
          <w:b/>
        </w:rPr>
      </w:pPr>
    </w:p>
    <w:p>
      <w:pPr>
        <w:spacing w:line="274" w:lineRule="exact" w:before="0"/>
        <w:ind w:left="236" w:right="0" w:firstLine="0"/>
        <w:jc w:val="both"/>
        <w:rPr>
          <w:b/>
          <w:sz w:val="24"/>
        </w:rPr>
      </w:pPr>
      <w:r>
        <w:rPr>
          <w:b/>
          <w:sz w:val="24"/>
        </w:rPr>
        <w:t>Brand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Experience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Brand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Commitment</w:t>
      </w:r>
    </w:p>
    <w:p>
      <w:pPr>
        <w:pStyle w:val="BodyText"/>
        <w:ind w:right="116" w:firstLine="719"/>
      </w:pPr>
      <w:r>
        <w:rPr/>
        <w:t>Brand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“subjective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consumer</w:t>
      </w:r>
      <w:r>
        <w:rPr>
          <w:spacing w:val="6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(sensations,</w:t>
      </w:r>
      <w:r>
        <w:rPr>
          <w:spacing w:val="1"/>
        </w:rPr>
        <w:t> </w:t>
      </w:r>
      <w:r>
        <w:rPr/>
        <w:t>feelings,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cognitions)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evoked</w:t>
      </w:r>
      <w:r>
        <w:rPr>
          <w:spacing w:val="1"/>
        </w:rPr>
        <w:t> </w:t>
      </w:r>
      <w:r>
        <w:rPr/>
        <w:t>by brand-related</w:t>
      </w:r>
      <w:r>
        <w:rPr>
          <w:spacing w:val="1"/>
        </w:rPr>
        <w:t> </w:t>
      </w:r>
      <w:r>
        <w:rPr/>
        <w:t>stimuli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brand’s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identity,</w:t>
      </w:r>
      <w:r>
        <w:rPr>
          <w:spacing w:val="1"/>
        </w:rPr>
        <w:t> </w:t>
      </w:r>
      <w:r>
        <w:rPr/>
        <w:t>packaging,</w:t>
      </w:r>
      <w:r>
        <w:rPr>
          <w:spacing w:val="1"/>
        </w:rPr>
        <w:t> </w:t>
      </w:r>
      <w:r>
        <w:rPr/>
        <w:t>communications,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environments”</w:t>
      </w:r>
      <w:r>
        <w:rPr>
          <w:spacing w:val="1"/>
        </w:rPr>
        <w:t> </w:t>
      </w:r>
      <w:r>
        <w:rPr/>
        <w:t>(Schmitt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multidimensional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experience</w:t>
      </w:r>
      <w:r>
        <w:rPr>
          <w:spacing w:val="-5"/>
        </w:rPr>
        <w:t> </w:t>
      </w:r>
      <w:r>
        <w:rPr/>
        <w:t>consists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four</w:t>
      </w:r>
      <w:r>
        <w:rPr>
          <w:spacing w:val="-2"/>
        </w:rPr>
        <w:t> </w:t>
      </w:r>
      <w:r>
        <w:rPr/>
        <w:t>dimensions</w:t>
      </w:r>
      <w:r>
        <w:rPr>
          <w:spacing w:val="-3"/>
        </w:rPr>
        <w:t> </w:t>
      </w:r>
      <w:r>
        <w:rPr/>
        <w:t>(sensory,</w:t>
      </w:r>
      <w:r>
        <w:rPr>
          <w:spacing w:val="-1"/>
        </w:rPr>
        <w:t> </w:t>
      </w:r>
      <w:r>
        <w:rPr/>
        <w:t>affective,</w:t>
      </w:r>
      <w:r>
        <w:rPr>
          <w:spacing w:val="-2"/>
        </w:rPr>
        <w:t> </w:t>
      </w:r>
      <w:r>
        <w:rPr/>
        <w:t>intellectual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behavioural).</w:t>
      </w:r>
    </w:p>
    <w:p>
      <w:pPr>
        <w:pStyle w:val="BodyText"/>
        <w:ind w:right="125" w:firstLine="719"/>
      </w:pPr>
      <w:r>
        <w:rPr/>
        <w:t>(Moorman et al., 1992) defined commitment as a desire to maintain a relationship.</w:t>
      </w:r>
      <w:r>
        <w:rPr>
          <w:spacing w:val="1"/>
        </w:rPr>
        <w:t> </w:t>
      </w:r>
      <w:r>
        <w:rPr/>
        <w:t>(Fournier, 1998) defined brand commitment as an emotional or psychological attachment to a</w:t>
      </w:r>
      <w:r>
        <w:rPr>
          <w:spacing w:val="1"/>
        </w:rPr>
        <w:t> </w:t>
      </w:r>
      <w:r>
        <w:rPr/>
        <w:t>brand within a product class. Brand commitment can be viewed as an enduring desire to</w:t>
      </w:r>
      <w:r>
        <w:rPr>
          <w:spacing w:val="1"/>
        </w:rPr>
        <w:t> </w:t>
      </w:r>
      <w:r>
        <w:rPr/>
        <w:t>maintain</w:t>
      </w:r>
      <w:r>
        <w:rPr>
          <w:spacing w:val="-1"/>
        </w:rPr>
        <w:t> </w:t>
      </w:r>
      <w:r>
        <w:rPr/>
        <w:t>a value of</w:t>
      </w:r>
      <w:r>
        <w:rPr>
          <w:spacing w:val="-1"/>
        </w:rPr>
        <w:t> </w:t>
      </w:r>
      <w:r>
        <w:rPr/>
        <w:t>relationship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the brand</w:t>
      </w:r>
      <w:r>
        <w:rPr>
          <w:spacing w:val="1"/>
        </w:rPr>
        <w:t> </w:t>
      </w:r>
      <w:r>
        <w:rPr/>
        <w:t>(R.</w:t>
      </w:r>
      <w:r>
        <w:rPr>
          <w:spacing w:val="-1"/>
        </w:rPr>
        <w:t> </w:t>
      </w:r>
      <w:r>
        <w:rPr/>
        <w:t>M. Morgan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D.</w:t>
      </w:r>
      <w:r>
        <w:rPr>
          <w:spacing w:val="3"/>
        </w:rPr>
        <w:t> </w:t>
      </w:r>
      <w:r>
        <w:rPr/>
        <w:t>Hunt,</w:t>
      </w:r>
      <w:r>
        <w:rPr>
          <w:spacing w:val="-1"/>
        </w:rPr>
        <w:t> </w:t>
      </w:r>
      <w:r>
        <w:rPr/>
        <w:t>1994).</w:t>
      </w:r>
    </w:p>
    <w:p>
      <w:pPr>
        <w:pStyle w:val="BodyText"/>
        <w:ind w:right="113" w:firstLine="719"/>
      </w:pPr>
      <w:r>
        <w:rPr/>
        <w:t>(Şahin et al., 2012) and (Johnson et al., 2006) in their empirical work find significant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commitment.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commitment, who have nurtured strong relationships with their brand, tend to see strong</w:t>
      </w:r>
      <w:r>
        <w:rPr>
          <w:spacing w:val="1"/>
        </w:rPr>
        <w:t> </w:t>
      </w:r>
      <w:r>
        <w:rPr/>
        <w:t>connections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(Escalas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Bettman,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hypothesis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formulated:</w:t>
      </w:r>
    </w:p>
    <w:p>
      <w:pPr>
        <w:pStyle w:val="BodyText"/>
      </w:pPr>
      <w:r>
        <w:rPr/>
        <w:t>H1. Brand</w:t>
      </w:r>
      <w:r>
        <w:rPr>
          <w:spacing w:val="-2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has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Brand</w:t>
      </w:r>
      <w:r>
        <w:rPr>
          <w:spacing w:val="-3"/>
        </w:rPr>
        <w:t> </w:t>
      </w:r>
      <w:r>
        <w:rPr/>
        <w:t>Commitment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spacing w:before="1"/>
      </w:pPr>
      <w:r>
        <w:rPr/>
        <w:t>Brand</w:t>
      </w:r>
      <w:r>
        <w:rPr>
          <w:spacing w:val="-7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-6"/>
        </w:rPr>
        <w:t> </w:t>
      </w:r>
      <w:r>
        <w:rPr/>
        <w:t>Brand</w:t>
      </w:r>
      <w:r>
        <w:rPr>
          <w:spacing w:val="-6"/>
        </w:rPr>
        <w:t> </w:t>
      </w:r>
      <w:r>
        <w:rPr/>
        <w:t>Trust</w:t>
      </w:r>
    </w:p>
    <w:p>
      <w:pPr>
        <w:pStyle w:val="BodyText"/>
        <w:ind w:right="114" w:firstLine="719"/>
      </w:pPr>
      <w:r>
        <w:rPr/>
        <w:t>(Keng et al., 2013) explained that a greater Brand Experience is not only 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familiarity,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understanding,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enjoying,</w:t>
      </w:r>
      <w:r>
        <w:rPr>
          <w:spacing w:val="1"/>
        </w:rPr>
        <w:t> </w:t>
      </w:r>
      <w:r>
        <w:rPr/>
        <w:t>enhancing, and developing a brand. In the process of consuming a brand, a consumer feels a</w:t>
      </w:r>
      <w:r>
        <w:rPr>
          <w:spacing w:val="1"/>
        </w:rPr>
        <w:t> </w:t>
      </w:r>
      <w:r>
        <w:rPr/>
        <w:t>pleasant experience, then this can help build consumer confidence to continue using the brand</w:t>
      </w:r>
      <w:r>
        <w:rPr>
          <w:spacing w:val="-57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future.</w:t>
      </w:r>
      <w:r>
        <w:rPr>
          <w:spacing w:val="11"/>
        </w:rPr>
        <w:t> </w:t>
      </w:r>
      <w:r>
        <w:rPr/>
        <w:t>This</w:t>
      </w:r>
      <w:r>
        <w:rPr>
          <w:spacing w:val="12"/>
        </w:rPr>
        <w:t> </w:t>
      </w:r>
      <w:r>
        <w:rPr/>
        <w:t>explanation</w:t>
      </w:r>
      <w:r>
        <w:rPr>
          <w:spacing w:val="8"/>
        </w:rPr>
        <w:t> </w:t>
      </w:r>
      <w:r>
        <w:rPr/>
        <w:t>is</w:t>
      </w:r>
      <w:r>
        <w:rPr>
          <w:spacing w:val="12"/>
        </w:rPr>
        <w:t> </w:t>
      </w:r>
      <w:r>
        <w:rPr/>
        <w:t>in</w:t>
      </w:r>
      <w:r>
        <w:rPr>
          <w:spacing w:val="9"/>
        </w:rPr>
        <w:t> </w:t>
      </w:r>
      <w:r>
        <w:rPr/>
        <w:t>line</w:t>
      </w:r>
      <w:r>
        <w:rPr>
          <w:spacing w:val="9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statement</w:t>
      </w:r>
      <w:r>
        <w:rPr>
          <w:spacing w:val="11"/>
        </w:rPr>
        <w:t> </w:t>
      </w:r>
      <w:r>
        <w:rPr/>
        <w:t>that</w:t>
      </w:r>
      <w:r>
        <w:rPr>
          <w:spacing w:val="13"/>
        </w:rPr>
        <w:t> </w:t>
      </w:r>
      <w:r>
        <w:rPr/>
        <w:t>brand</w:t>
      </w:r>
      <w:r>
        <w:rPr>
          <w:spacing w:val="9"/>
        </w:rPr>
        <w:t> </w:t>
      </w:r>
      <w:r>
        <w:rPr/>
        <w:t>trust</w:t>
      </w:r>
      <w:r>
        <w:rPr>
          <w:spacing w:val="11"/>
        </w:rPr>
        <w:t> </w:t>
      </w:r>
      <w:r>
        <w:rPr/>
        <w:t>is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willingness</w:t>
      </w:r>
      <w:r>
        <w:rPr>
          <w:spacing w:val="-57"/>
        </w:rPr>
        <w:t> </w:t>
      </w:r>
      <w:r>
        <w:rPr/>
        <w:t>of customers to trust the brand with all the risks where the hope of the brand can provide</w:t>
      </w:r>
      <w:r>
        <w:rPr>
          <w:spacing w:val="1"/>
        </w:rPr>
        <w:t> </w:t>
      </w:r>
      <w:r>
        <w:rPr/>
        <w:t>positive benefits for customers (Ahmed et al., 2014). Previous research has stated that Brand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(Chinomona,</w:t>
      </w:r>
      <w:r>
        <w:rPr>
          <w:spacing w:val="60"/>
        </w:rPr>
        <w:t> </w:t>
      </w:r>
      <w:r>
        <w:rPr/>
        <w:t>2013),</w:t>
      </w:r>
      <w:r>
        <w:rPr>
          <w:spacing w:val="1"/>
        </w:rPr>
        <w:t> </w:t>
      </w:r>
      <w:r>
        <w:rPr/>
        <w:t>(Yohanes</w:t>
      </w:r>
      <w:r>
        <w:rPr>
          <w:spacing w:val="-3"/>
        </w:rPr>
        <w:t> </w:t>
      </w:r>
      <w:r>
        <w:rPr/>
        <w:t>Surya, 2014). Therefore, the second hypothesis</w:t>
      </w:r>
      <w:r>
        <w:rPr>
          <w:spacing w:val="-2"/>
        </w:rPr>
        <w:t> </w:t>
      </w:r>
      <w:r>
        <w:rPr/>
        <w:t>of this</w:t>
      </w:r>
      <w:r>
        <w:rPr>
          <w:spacing w:val="-3"/>
        </w:rPr>
        <w:t> </w:t>
      </w:r>
      <w:r>
        <w:rPr/>
        <w:t>study</w:t>
      </w:r>
      <w:r>
        <w:rPr>
          <w:spacing w:val="-8"/>
        </w:rPr>
        <w:t> </w:t>
      </w:r>
      <w:r>
        <w:rPr/>
        <w:t>is:</w:t>
      </w:r>
    </w:p>
    <w:p>
      <w:pPr>
        <w:pStyle w:val="BodyText"/>
      </w:pPr>
      <w:r>
        <w:rPr/>
        <w:t>H2. Brand</w:t>
      </w:r>
      <w:r>
        <w:rPr>
          <w:spacing w:val="-2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has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Brand</w:t>
      </w:r>
      <w:r>
        <w:rPr>
          <w:spacing w:val="-3"/>
        </w:rPr>
        <w:t> </w:t>
      </w:r>
      <w:r>
        <w:rPr/>
        <w:t>Trust</w:t>
      </w:r>
    </w:p>
    <w:p>
      <w:pPr>
        <w:pStyle w:val="BodyText"/>
        <w:spacing w:before="3"/>
        <w:ind w:left="0"/>
        <w:jc w:val="left"/>
      </w:pPr>
    </w:p>
    <w:p>
      <w:pPr>
        <w:pStyle w:val="Heading1"/>
      </w:pPr>
      <w:r>
        <w:rPr/>
        <w:t>Brand</w:t>
      </w:r>
      <w:r>
        <w:rPr>
          <w:spacing w:val="-6"/>
        </w:rPr>
        <w:t> </w:t>
      </w:r>
      <w:r>
        <w:rPr/>
        <w:t>Experience</w:t>
      </w:r>
      <w:r>
        <w:rPr>
          <w:spacing w:val="2"/>
        </w:rPr>
        <w:t> </w:t>
      </w:r>
      <w:r>
        <w:rPr/>
        <w:t>and</w:t>
      </w:r>
      <w:r>
        <w:rPr>
          <w:spacing w:val="-5"/>
        </w:rPr>
        <w:t> </w:t>
      </w:r>
      <w:r>
        <w:rPr/>
        <w:t>Brand</w:t>
      </w:r>
      <w:r>
        <w:rPr>
          <w:spacing w:val="-6"/>
        </w:rPr>
        <w:t> </w:t>
      </w:r>
      <w:r>
        <w:rPr/>
        <w:t>Loyalty</w:t>
      </w:r>
    </w:p>
    <w:p>
      <w:pPr>
        <w:pStyle w:val="BodyText"/>
        <w:ind w:right="118" w:firstLine="719"/>
      </w:pPr>
      <w:r>
        <w:rPr/>
        <w:t>Brand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consumers'</w:t>
      </w:r>
      <w:r>
        <w:rPr>
          <w:spacing w:val="1"/>
        </w:rPr>
        <w:t> </w:t>
      </w:r>
      <w:r>
        <w:rPr/>
        <w:t>felt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brand.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consumers' purchase and consumption experiences with the brand and the organization, as</w:t>
      </w:r>
      <w:r>
        <w:rPr>
          <w:spacing w:val="1"/>
        </w:rPr>
        <w:t> </w:t>
      </w:r>
      <w:r>
        <w:rPr/>
        <w:t>well as to the brand influence on non-consumers (Khan &amp; Rahman, 2015). A positive brand</w:t>
      </w:r>
      <w:r>
        <w:rPr>
          <w:spacing w:val="1"/>
        </w:rPr>
        <w:t> </w:t>
      </w:r>
      <w:r>
        <w:rPr/>
        <w:t>experience can be influenced by the overall product, shopping and consumption experience</w:t>
      </w:r>
      <w:r>
        <w:rPr>
          <w:spacing w:val="1"/>
        </w:rPr>
        <w:t> </w:t>
      </w:r>
      <w:r>
        <w:rPr/>
        <w:t>encountered by the consumers, thus resulting in brand satisfaction and loyalty (Schmitt et al.,</w:t>
      </w:r>
      <w:r>
        <w:rPr>
          <w:spacing w:val="1"/>
        </w:rPr>
        <w:t> </w:t>
      </w:r>
      <w:r>
        <w:rPr/>
        <w:t>2009). Customers' brand experience gains through consumption will possibly be stronger and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(Zarantonello &amp;</w:t>
      </w:r>
      <w:r>
        <w:rPr>
          <w:spacing w:val="1"/>
        </w:rPr>
        <w:t> </w:t>
      </w:r>
      <w:r>
        <w:rPr/>
        <w:t>Schmitt, 2010).</w:t>
      </w:r>
      <w:r>
        <w:rPr>
          <w:spacing w:val="1"/>
        </w:rPr>
        <w:t> </w:t>
      </w:r>
      <w:r>
        <w:rPr/>
        <w:t>Customers today not</w:t>
      </w:r>
      <w:r>
        <w:rPr>
          <w:spacing w:val="1"/>
        </w:rPr>
        <w:t> </w:t>
      </w:r>
      <w:r>
        <w:rPr/>
        <w:t>only seek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tangible</w:t>
      </w:r>
      <w:r>
        <w:rPr>
          <w:spacing w:val="1"/>
        </w:rPr>
        <w:t> </w:t>
      </w:r>
      <w:r>
        <w:rPr/>
        <w:t>benefits provided by the brand organization but also the experience associated with the brand</w:t>
      </w:r>
      <w:r>
        <w:rPr>
          <w:spacing w:val="1"/>
        </w:rPr>
        <w:t> </w:t>
      </w:r>
      <w:r>
        <w:rPr/>
        <w:t>(Ong</w:t>
      </w:r>
      <w:r>
        <w:rPr>
          <w:spacing w:val="-5"/>
        </w:rPr>
        <w:t> </w:t>
      </w:r>
      <w:r>
        <w:rPr/>
        <w:t>Chuan</w:t>
      </w:r>
      <w:r>
        <w:rPr>
          <w:spacing w:val="2"/>
        </w:rPr>
        <w:t> </w:t>
      </w:r>
      <w:r>
        <w:rPr/>
        <w:t>Huat et al., 2018).</w:t>
      </w:r>
    </w:p>
    <w:p>
      <w:pPr>
        <w:pStyle w:val="BodyText"/>
        <w:ind w:right="114" w:firstLine="719"/>
      </w:pPr>
      <w:r>
        <w:rPr/>
        <w:t>Brand loyalty represents a customer’s positive attitude towards a brand or offering, in</w:t>
      </w:r>
      <w:r>
        <w:rPr>
          <w:spacing w:val="1"/>
        </w:rPr>
        <w:t> </w:t>
      </w:r>
      <w:r>
        <w:rPr/>
        <w:t>addition to repeat buying behaviour (Liu et al., 2012), (Rather et al., 2018). Based on this</w:t>
      </w:r>
      <w:r>
        <w:rPr>
          <w:spacing w:val="1"/>
        </w:rPr>
        <w:t> </w:t>
      </w:r>
      <w:r>
        <w:rPr/>
        <w:t>viewpoint, brand loyalty signifies the consequence of relationship between customer attitude</w:t>
      </w:r>
      <w:r>
        <w:rPr>
          <w:spacing w:val="1"/>
        </w:rPr>
        <w:t> </w:t>
      </w:r>
      <w:r>
        <w:rPr/>
        <w:t>in buying behaviour and brand.</w:t>
      </w:r>
      <w:r>
        <w:rPr>
          <w:spacing w:val="1"/>
        </w:rPr>
        <w:t> </w:t>
      </w:r>
      <w:r>
        <w:rPr/>
        <w:t>Loyal customers have a strong commitment to a brand,</w:t>
      </w:r>
      <w:r>
        <w:rPr>
          <w:spacing w:val="1"/>
        </w:rPr>
        <w:t> </w:t>
      </w:r>
      <w:r>
        <w:rPr/>
        <w:t>because they believe that brand is more satisfactory than the alternatives (Holland &amp; Baker,</w:t>
      </w:r>
      <w:r>
        <w:rPr>
          <w:spacing w:val="1"/>
        </w:rPr>
        <w:t> </w:t>
      </w:r>
      <w:r>
        <w:rPr/>
        <w:t>2001). Brand Loyalty is crucial for brand managers, because it provides continuous profit,</w:t>
      </w:r>
      <w:r>
        <w:rPr>
          <w:spacing w:val="1"/>
        </w:rPr>
        <w:t> </w:t>
      </w:r>
      <w:r>
        <w:rPr/>
        <w:t>decreased operating and marketing costs, increased customer revenue and price premiums,</w:t>
      </w:r>
      <w:r>
        <w:rPr>
          <w:spacing w:val="1"/>
        </w:rPr>
        <w:t> </w:t>
      </w:r>
      <w:r>
        <w:rPr/>
        <w:t>more referred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customers</w:t>
      </w:r>
      <w:r>
        <w:rPr>
          <w:spacing w:val="-3"/>
        </w:rPr>
        <w:t> </w:t>
      </w:r>
      <w:r>
        <w:rPr/>
        <w:t>and competitive advantage</w:t>
      </w:r>
      <w:r>
        <w:rPr>
          <w:spacing w:val="9"/>
        </w:rPr>
        <w:t> </w:t>
      </w:r>
      <w:r>
        <w:rPr/>
        <w:t>(Tepeci,</w:t>
      </w:r>
      <w:r>
        <w:rPr>
          <w:spacing w:val="-1"/>
        </w:rPr>
        <w:t> </w:t>
      </w:r>
      <w:r>
        <w:rPr/>
        <w:t>1999).</w:t>
      </w:r>
    </w:p>
    <w:p>
      <w:pPr>
        <w:pStyle w:val="BodyText"/>
        <w:ind w:right="119" w:firstLine="719"/>
      </w:pPr>
      <w:r>
        <w:rPr/>
        <w:t>Brand experience conceptualization and scale development are very important for</w:t>
      </w:r>
      <w:r>
        <w:rPr>
          <w:spacing w:val="1"/>
        </w:rPr>
        <w:t> </w:t>
      </w:r>
      <w:r>
        <w:rPr/>
        <w:t>understanding</w:t>
      </w:r>
      <w:r>
        <w:rPr>
          <w:spacing w:val="46"/>
        </w:rPr>
        <w:t> </w:t>
      </w:r>
      <w:r>
        <w:rPr/>
        <w:t>and</w:t>
      </w:r>
      <w:r>
        <w:rPr>
          <w:spacing w:val="51"/>
        </w:rPr>
        <w:t> </w:t>
      </w:r>
      <w:r>
        <w:rPr/>
        <w:t>managing</w:t>
      </w:r>
      <w:r>
        <w:rPr>
          <w:spacing w:val="47"/>
        </w:rPr>
        <w:t> </w:t>
      </w:r>
      <w:r>
        <w:rPr/>
        <w:t>brand</w:t>
      </w:r>
      <w:r>
        <w:rPr>
          <w:spacing w:val="55"/>
        </w:rPr>
        <w:t> </w:t>
      </w:r>
      <w:r>
        <w:rPr/>
        <w:t>trust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loyalty</w:t>
      </w:r>
      <w:r>
        <w:rPr>
          <w:spacing w:val="47"/>
        </w:rPr>
        <w:t> </w:t>
      </w:r>
      <w:r>
        <w:rPr/>
        <w:t>concepts  (Schmitt</w:t>
      </w:r>
      <w:r>
        <w:rPr>
          <w:spacing w:val="51"/>
        </w:rPr>
        <w:t> </w:t>
      </w:r>
      <w:r>
        <w:rPr/>
        <w:t>et</w:t>
      </w:r>
      <w:r>
        <w:rPr>
          <w:spacing w:val="52"/>
        </w:rPr>
        <w:t> </w:t>
      </w:r>
      <w:r>
        <w:rPr/>
        <w:t>al.,</w:t>
      </w:r>
      <w:r>
        <w:rPr>
          <w:spacing w:val="51"/>
        </w:rPr>
        <w:t> </w:t>
      </w:r>
      <w:r>
        <w:rPr/>
        <w:t>2009).</w:t>
      </w:r>
      <w:r>
        <w:rPr>
          <w:spacing w:val="48"/>
        </w:rPr>
        <w:t> </w:t>
      </w:r>
      <w:r>
        <w:rPr/>
        <w:t>In</w:t>
      </w:r>
    </w:p>
    <w:p>
      <w:pPr>
        <w:spacing w:after="0"/>
        <w:sectPr>
          <w:pgSz w:w="11910" w:h="16840"/>
          <w:pgMar w:header="0" w:footer="998" w:top="1320" w:bottom="1180" w:left="1180" w:right="1300"/>
        </w:sectPr>
      </w:pPr>
    </w:p>
    <w:p>
      <w:pPr>
        <w:pStyle w:val="BodyText"/>
        <w:spacing w:before="72"/>
        <w:ind w:right="116"/>
      </w:pPr>
      <w:r>
        <w:rPr/>
        <w:t>addition, brand experience can positively affect consumer satisfaction and brand loyalty, as</w:t>
      </w:r>
      <w:r>
        <w:rPr>
          <w:spacing w:val="1"/>
        </w:rPr>
        <w:t> </w:t>
      </w:r>
      <w:r>
        <w:rPr/>
        <w:t>well as brand trust (Zarantonello &amp; Schmitt, 2010), (Ha &amp; Perks, 2005). Therefore, the third</w:t>
      </w:r>
      <w:r>
        <w:rPr>
          <w:spacing w:val="1"/>
        </w:rPr>
        <w:t> </w:t>
      </w:r>
      <w:r>
        <w:rPr/>
        <w:t>hypothesis</w:t>
      </w:r>
      <w:r>
        <w:rPr>
          <w:spacing w:val="-3"/>
        </w:rPr>
        <w:t> </w:t>
      </w:r>
      <w:r>
        <w:rPr/>
        <w:t>of this</w:t>
      </w:r>
      <w:r>
        <w:rPr>
          <w:spacing w:val="-2"/>
        </w:rPr>
        <w:t> </w:t>
      </w:r>
      <w:r>
        <w:rPr/>
        <w:t>study</w:t>
      </w:r>
      <w:r>
        <w:rPr>
          <w:spacing w:val="-8"/>
        </w:rPr>
        <w:t> </w:t>
      </w:r>
      <w:r>
        <w:rPr/>
        <w:t>is:</w:t>
      </w:r>
    </w:p>
    <w:p>
      <w:pPr>
        <w:pStyle w:val="BodyText"/>
      </w:pPr>
      <w:r>
        <w:rPr/>
        <w:t>H3. Brand</w:t>
      </w:r>
      <w:r>
        <w:rPr>
          <w:spacing w:val="-2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has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Brand Loyalty</w:t>
      </w:r>
    </w:p>
    <w:p>
      <w:pPr>
        <w:pStyle w:val="BodyText"/>
        <w:spacing w:before="4"/>
        <w:ind w:left="0"/>
        <w:jc w:val="left"/>
      </w:pPr>
    </w:p>
    <w:p>
      <w:pPr>
        <w:pStyle w:val="Heading1"/>
      </w:pPr>
      <w:r>
        <w:rPr/>
        <w:t>Brand</w:t>
      </w:r>
      <w:r>
        <w:rPr>
          <w:spacing w:val="-3"/>
        </w:rPr>
        <w:t> </w:t>
      </w:r>
      <w:r>
        <w:rPr/>
        <w:t>Commitment</w:t>
      </w:r>
      <w:r>
        <w:rPr>
          <w:spacing w:val="2"/>
        </w:rPr>
        <w:t> </w:t>
      </w:r>
      <w:r>
        <w:rPr/>
        <w:t>and</w:t>
      </w:r>
      <w:r>
        <w:rPr>
          <w:spacing w:val="-6"/>
        </w:rPr>
        <w:t> </w:t>
      </w:r>
      <w:r>
        <w:rPr/>
        <w:t>Brand</w:t>
      </w:r>
      <w:r>
        <w:rPr>
          <w:spacing w:val="-6"/>
        </w:rPr>
        <w:t> </w:t>
      </w:r>
      <w:r>
        <w:rPr/>
        <w:t>Loyalty</w:t>
      </w:r>
    </w:p>
    <w:p>
      <w:pPr>
        <w:pStyle w:val="BodyText"/>
        <w:ind w:right="116" w:firstLine="719"/>
      </w:pPr>
      <w:r>
        <w:rPr/>
        <w:t>Commitment is not the same as loyalty. Commitment emerges when looking through</w:t>
      </w:r>
      <w:r>
        <w:rPr>
          <w:spacing w:val="1"/>
        </w:rPr>
        <w:t> </w:t>
      </w:r>
      <w:r>
        <w:rPr/>
        <w:t>brands before settling on decisions, while loyalty emerges later. Trust and commitment are</w:t>
      </w:r>
      <w:r>
        <w:rPr>
          <w:spacing w:val="1"/>
        </w:rPr>
        <w:t> </w:t>
      </w:r>
      <w:r>
        <w:rPr/>
        <w:t>both very important elements in ensuring a long-term orientation toward a firm’s brand. Trust</w:t>
      </w:r>
      <w:r>
        <w:rPr>
          <w:spacing w:val="1"/>
        </w:rPr>
        <w:t> </w:t>
      </w:r>
      <w:r>
        <w:rPr/>
        <w:t>and commitment are explained as antecedent of loyalty and repurchase intentions</w:t>
      </w:r>
      <w:r>
        <w:rPr>
          <w:spacing w:val="1"/>
        </w:rPr>
        <w:t> </w:t>
      </w:r>
      <w:r>
        <w:rPr/>
        <w:t>(R. M.</w:t>
      </w:r>
      <w:r>
        <w:rPr>
          <w:spacing w:val="1"/>
        </w:rPr>
        <w:t> </w:t>
      </w:r>
      <w:r>
        <w:rPr/>
        <w:t>Morgan &amp; S. D. Hunt, 1994). Brand loyalty is expressed as the tendency to consistently</w:t>
      </w:r>
      <w:r>
        <w:rPr>
          <w:spacing w:val="1"/>
        </w:rPr>
        <w:t> </w:t>
      </w:r>
      <w:r>
        <w:rPr/>
        <w:t>choose a single brand among several brands in the same product group and continously</w:t>
      </w:r>
      <w:r>
        <w:rPr>
          <w:spacing w:val="1"/>
        </w:rPr>
        <w:t> </w:t>
      </w:r>
      <w:r>
        <w:rPr/>
        <w:t>purchase that brand</w:t>
      </w:r>
      <w:r>
        <w:rPr>
          <w:spacing w:val="2"/>
        </w:rPr>
        <w:t> </w:t>
      </w:r>
      <w:r>
        <w:rPr/>
        <w:t>(Aaker, 1994).</w:t>
      </w:r>
    </w:p>
    <w:p>
      <w:pPr>
        <w:pStyle w:val="BodyText"/>
        <w:ind w:right="118" w:firstLine="719"/>
      </w:pPr>
      <w:r>
        <w:rPr/>
        <w:t>In the research of (Roy et al., 2017) state that commitment has a positive influence on</w:t>
      </w:r>
      <w:r>
        <w:rPr>
          <w:spacing w:val="1"/>
        </w:rPr>
        <w:t> </w:t>
      </w:r>
      <w:r>
        <w:rPr/>
        <w:t>loyalty. Customer satisfaction and commitment act as dominant enablers of customer loyalty.</w:t>
      </w:r>
      <w:r>
        <w:rPr>
          <w:spacing w:val="1"/>
        </w:rPr>
        <w:t> </w:t>
      </w:r>
      <w:r>
        <w:rPr/>
        <w:t>(Lariviere et al., 2014) observed a strong relationship between customer commitment and</w:t>
      </w:r>
      <w:r>
        <w:rPr>
          <w:spacing w:val="1"/>
        </w:rPr>
        <w:t> </w:t>
      </w:r>
      <w:r>
        <w:rPr/>
        <w:t>loyalty using longitudinal panel survey data. When a consumer is satisfied, he/she develops a</w:t>
      </w:r>
      <w:r>
        <w:rPr>
          <w:spacing w:val="1"/>
        </w:rPr>
        <w:t> </w:t>
      </w:r>
      <w:r>
        <w:rPr/>
        <w:t>high level of commitment and loyalty to the brand/firm. Hence,</w:t>
      </w:r>
      <w:r>
        <w:rPr>
          <w:spacing w:val="60"/>
        </w:rPr>
        <w:t> </w:t>
      </w:r>
      <w:r>
        <w:rPr/>
        <w:t>commitment has a direct</w:t>
      </w:r>
      <w:r>
        <w:rPr>
          <w:spacing w:val="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loyalty.</w:t>
      </w:r>
      <w:r>
        <w:rPr>
          <w:spacing w:val="2"/>
        </w:rPr>
        <w:t> </w:t>
      </w:r>
      <w:r>
        <w:rPr/>
        <w:t>Therefore, the</w:t>
      </w:r>
      <w:r>
        <w:rPr>
          <w:spacing w:val="1"/>
        </w:rPr>
        <w:t> </w:t>
      </w:r>
      <w:r>
        <w:rPr/>
        <w:t>fourth hypothesis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</w:t>
      </w:r>
      <w:r>
        <w:rPr>
          <w:spacing w:val="-8"/>
        </w:rPr>
        <w:t> </w:t>
      </w:r>
      <w:r>
        <w:rPr/>
        <w:t>is:</w:t>
      </w:r>
    </w:p>
    <w:p>
      <w:pPr>
        <w:pStyle w:val="BodyText"/>
      </w:pPr>
      <w:r>
        <w:rPr/>
        <w:t>H4. Brand</w:t>
      </w:r>
      <w:r>
        <w:rPr>
          <w:spacing w:val="-3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has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Brand</w:t>
      </w:r>
      <w:r>
        <w:rPr>
          <w:spacing w:val="-1"/>
        </w:rPr>
        <w:t> </w:t>
      </w:r>
      <w:r>
        <w:rPr/>
        <w:t>Loyalty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spacing w:before="1"/>
      </w:pPr>
      <w:r>
        <w:rPr/>
        <w:t>Brand</w:t>
      </w:r>
      <w:r>
        <w:rPr>
          <w:spacing w:val="-5"/>
        </w:rPr>
        <w:t> </w:t>
      </w:r>
      <w:r>
        <w:rPr/>
        <w:t>Trust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/>
        <w:t>Brand</w:t>
      </w:r>
      <w:r>
        <w:rPr>
          <w:spacing w:val="-1"/>
        </w:rPr>
        <w:t> </w:t>
      </w:r>
      <w:r>
        <w:rPr/>
        <w:t>Loyalty</w:t>
      </w:r>
    </w:p>
    <w:p>
      <w:pPr>
        <w:pStyle w:val="BodyText"/>
        <w:ind w:right="114" w:firstLine="719"/>
      </w:pPr>
      <w:r>
        <w:rPr/>
        <w:t>Researchers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customer–brand</w:t>
      </w:r>
      <w:r>
        <w:rPr>
          <w:spacing w:val="1"/>
        </w:rPr>
        <w:t> </w:t>
      </w:r>
      <w:r>
        <w:rPr/>
        <w:t>relationship. This means that trust antecedes customers’ relationship commitment (R. Morgan</w:t>
      </w:r>
      <w:r>
        <w:rPr>
          <w:spacing w:val="1"/>
        </w:rPr>
        <w:t> </w:t>
      </w:r>
      <w:r>
        <w:rPr/>
        <w:t>&amp; S. Hunt, 1994). Therefore, in maintaining a positive relationship between consumers and</w:t>
      </w:r>
      <w:r>
        <w:rPr>
          <w:spacing w:val="1"/>
        </w:rPr>
        <w:t> </w:t>
      </w:r>
      <w:r>
        <w:rPr/>
        <w:t>providers, scholars consider trust as a crucial component</w:t>
      </w:r>
      <w:r>
        <w:rPr>
          <w:spacing w:val="1"/>
        </w:rPr>
        <w:t> </w:t>
      </w:r>
      <w:r>
        <w:rPr/>
        <w:t>(Elliott &amp; Yannopoulou, 2007).</w:t>
      </w:r>
      <w:r>
        <w:rPr>
          <w:spacing w:val="1"/>
        </w:rPr>
        <w:t> </w:t>
      </w:r>
      <w:r>
        <w:rPr/>
        <w:t>Brand trust is achieved through mutual experiences and activities and is a necessary concept</w:t>
      </w:r>
      <w:r>
        <w:rPr>
          <w:spacing w:val="1"/>
        </w:rPr>
        <w:t> </w:t>
      </w:r>
      <w:r>
        <w:rPr/>
        <w:t>for a successful relationship between a company and its customers</w:t>
      </w:r>
      <w:r>
        <w:rPr>
          <w:spacing w:val="60"/>
        </w:rPr>
        <w:t> </w:t>
      </w:r>
      <w:r>
        <w:rPr/>
        <w:t>(Anderson</w:t>
      </w:r>
      <w:r>
        <w:rPr>
          <w:spacing w:val="60"/>
        </w:rPr>
        <w:t> </w:t>
      </w:r>
      <w:r>
        <w:rPr/>
        <w:t>&amp; Narus,</w:t>
      </w:r>
      <w:r>
        <w:rPr>
          <w:spacing w:val="1"/>
        </w:rPr>
        <w:t> </w:t>
      </w:r>
      <w:r>
        <w:rPr/>
        <w:t>1990). (Choi, 2012) defined trust as a belief where the consumer's chosen store will bring the</w:t>
      </w:r>
      <w:r>
        <w:rPr>
          <w:spacing w:val="1"/>
        </w:rPr>
        <w:t> </w:t>
      </w:r>
      <w:r>
        <w:rPr/>
        <w:t>best</w:t>
      </w:r>
      <w:r>
        <w:rPr>
          <w:spacing w:val="-1"/>
        </w:rPr>
        <w:t> </w:t>
      </w:r>
      <w:r>
        <w:rPr/>
        <w:t>benefit to them.</w:t>
      </w:r>
    </w:p>
    <w:p>
      <w:pPr>
        <w:pStyle w:val="BodyText"/>
        <w:ind w:right="118" w:firstLine="719"/>
      </w:pPr>
      <w:r>
        <w:rPr/>
        <w:t>Previous</w:t>
      </w:r>
      <w:r>
        <w:rPr>
          <w:spacing w:val="43"/>
        </w:rPr>
        <w:t> </w:t>
      </w:r>
      <w:r>
        <w:rPr/>
        <w:t>research</w:t>
      </w:r>
      <w:r>
        <w:rPr>
          <w:spacing w:val="45"/>
        </w:rPr>
        <w:t> </w:t>
      </w:r>
      <w:r>
        <w:rPr/>
        <w:t>states</w:t>
      </w:r>
      <w:r>
        <w:rPr>
          <w:spacing w:val="44"/>
        </w:rPr>
        <w:t> </w:t>
      </w:r>
      <w:r>
        <w:rPr/>
        <w:t>that</w:t>
      </w:r>
      <w:r>
        <w:rPr>
          <w:spacing w:val="46"/>
        </w:rPr>
        <w:t> </w:t>
      </w:r>
      <w:r>
        <w:rPr/>
        <w:t>there</w:t>
      </w:r>
      <w:r>
        <w:rPr>
          <w:spacing w:val="46"/>
        </w:rPr>
        <w:t> </w:t>
      </w:r>
      <w:r>
        <w:rPr/>
        <w:t>is</w:t>
      </w:r>
      <w:r>
        <w:rPr>
          <w:spacing w:val="44"/>
        </w:rPr>
        <w:t> </w:t>
      </w:r>
      <w:r>
        <w:rPr/>
        <w:t>a</w:t>
      </w:r>
      <w:r>
        <w:rPr>
          <w:spacing w:val="42"/>
        </w:rPr>
        <w:t> </w:t>
      </w:r>
      <w:r>
        <w:rPr/>
        <w:t>positive</w:t>
      </w:r>
      <w:r>
        <w:rPr>
          <w:spacing w:val="46"/>
        </w:rPr>
        <w:t> </w:t>
      </w:r>
      <w:r>
        <w:rPr/>
        <w:t>influence</w:t>
      </w:r>
      <w:r>
        <w:rPr>
          <w:spacing w:val="46"/>
        </w:rPr>
        <w:t> </w:t>
      </w:r>
      <w:r>
        <w:rPr/>
        <w:t>between</w:t>
      </w:r>
      <w:r>
        <w:rPr>
          <w:spacing w:val="45"/>
        </w:rPr>
        <w:t> </w:t>
      </w:r>
      <w:r>
        <w:rPr/>
        <w:t>brand</w:t>
      </w:r>
      <w:r>
        <w:rPr>
          <w:spacing w:val="45"/>
        </w:rPr>
        <w:t> </w:t>
      </w:r>
      <w:r>
        <w:rPr/>
        <w:t>trust</w:t>
      </w:r>
      <w:r>
        <w:rPr>
          <w:spacing w:val="42"/>
        </w:rPr>
        <w:t> </w:t>
      </w:r>
      <w:r>
        <w:rPr/>
        <w:t>and</w:t>
      </w:r>
      <w:r>
        <w:rPr>
          <w:spacing w:val="-57"/>
        </w:rPr>
        <w:t> </w:t>
      </w:r>
      <w:r>
        <w:rPr/>
        <w:t>brand loyalty (Sahin et al., 2011), (Song &amp; Wang, 2019). In the research of (Kocak Alan &amp;</w:t>
      </w:r>
      <w:r>
        <w:rPr>
          <w:spacing w:val="1"/>
        </w:rPr>
        <w:t> </w:t>
      </w:r>
      <w:r>
        <w:rPr/>
        <w:t>Kabadayi, 2012), (Ahmed et al., 2014) and (Putra &amp; Sulistyawati, 2014) state that brand trust</w:t>
      </w:r>
      <w:r>
        <w:rPr>
          <w:spacing w:val="1"/>
        </w:rPr>
        <w:t> </w:t>
      </w:r>
      <w:r>
        <w:rPr/>
        <w:t>has a positive and significant effect on brand loyalty. Brand loyalty is defined as consumers’</w:t>
      </w:r>
      <w:r>
        <w:rPr>
          <w:spacing w:val="1"/>
        </w:rPr>
        <w:t> </w:t>
      </w:r>
      <w:r>
        <w:rPr/>
        <w:t>favourable attitude toward a brand that results in intentions to repurchase and recommend</w:t>
      </w:r>
      <w:r>
        <w:rPr>
          <w:spacing w:val="1"/>
        </w:rPr>
        <w:t> </w:t>
      </w:r>
      <w:r>
        <w:rPr/>
        <w:t>(Anderson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Karunamoorthy,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increases,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vulnerability of that customer group to threats and brand attacks of competitors' products can</w:t>
      </w:r>
      <w:r>
        <w:rPr>
          <w:spacing w:val="1"/>
        </w:rPr>
        <w:t> </w:t>
      </w:r>
      <w:r>
        <w:rPr/>
        <w:t>be reduced.</w:t>
      </w:r>
      <w:r>
        <w:rPr>
          <w:spacing w:val="-5"/>
        </w:rPr>
        <w:t> </w:t>
      </w:r>
      <w:r>
        <w:rPr/>
        <w:t>Therefore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fifth hypothesis</w:t>
      </w:r>
      <w:r>
        <w:rPr>
          <w:spacing w:val="-2"/>
        </w:rPr>
        <w:t> </w:t>
      </w:r>
      <w:r>
        <w:rPr/>
        <w:t>of this</w:t>
      </w:r>
      <w:r>
        <w:rPr>
          <w:spacing w:val="-2"/>
        </w:rPr>
        <w:t> </w:t>
      </w:r>
      <w:r>
        <w:rPr/>
        <w:t>study</w:t>
      </w:r>
      <w:r>
        <w:rPr>
          <w:spacing w:val="-8"/>
        </w:rPr>
        <w:t> </w:t>
      </w:r>
      <w:r>
        <w:rPr/>
        <w:t>is:</w:t>
      </w:r>
    </w:p>
    <w:p>
      <w:pPr>
        <w:pStyle w:val="BodyText"/>
      </w:pPr>
      <w:r>
        <w:rPr/>
        <w:t>H5.</w:t>
      </w:r>
      <w:r>
        <w:rPr>
          <w:spacing w:val="-1"/>
        </w:rPr>
        <w:t> </w:t>
      </w:r>
      <w:r>
        <w:rPr/>
        <w:t>Brand</w:t>
      </w:r>
      <w:r>
        <w:rPr>
          <w:spacing w:val="-2"/>
        </w:rPr>
        <w:t> </w:t>
      </w:r>
      <w:r>
        <w:rPr/>
        <w:t>Trust</w:t>
      </w:r>
      <w:r>
        <w:rPr>
          <w:spacing w:val="-3"/>
        </w:rPr>
        <w:t> </w:t>
      </w:r>
      <w:r>
        <w:rPr/>
        <w:t>has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Brand Loyalty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spacing w:line="240" w:lineRule="auto" w:before="1"/>
        <w:jc w:val="left"/>
      </w:pPr>
      <w:r>
        <w:rPr/>
        <w:t>Methodology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ind w:right="113" w:firstLine="719"/>
      </w:pPr>
      <w:r>
        <w:rPr/>
        <w:t>To examine the hypothesized research model, primary data collection was carried out</w:t>
      </w:r>
      <w:r>
        <w:rPr>
          <w:spacing w:val="1"/>
        </w:rPr>
        <w:t> </w:t>
      </w:r>
      <w:r>
        <w:rPr/>
        <w:t>through structured questionnaire. As the objective of this research was to investigate the brand</w:t>
      </w:r>
      <w:r>
        <w:rPr>
          <w:spacing w:val="-57"/>
        </w:rPr>
        <w:t> </w:t>
      </w:r>
      <w:r>
        <w:rPr/>
        <w:t>loyalty of existing smartphone consumers, the target respondents involved in this reseach was</w:t>
      </w:r>
      <w:r>
        <w:rPr>
          <w:spacing w:val="1"/>
        </w:rPr>
        <w:t> </w:t>
      </w:r>
      <w:r>
        <w:rPr/>
        <w:t>respondents who have purchased smartphone and used it for him/herself. The number of</w:t>
      </w:r>
      <w:r>
        <w:rPr>
          <w:spacing w:val="1"/>
        </w:rPr>
        <w:t> </w:t>
      </w:r>
      <w:r>
        <w:rPr/>
        <w:t>respondents was 258 and taken using purposive sampling method. The respondents were</w:t>
      </w:r>
      <w:r>
        <w:rPr>
          <w:spacing w:val="1"/>
        </w:rPr>
        <w:t> </w:t>
      </w:r>
      <w:r>
        <w:rPr/>
        <w:t>assured the confidentiality of the information provided during the survey. The variables in this</w:t>
      </w:r>
      <w:r>
        <w:rPr>
          <w:spacing w:val="-57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commitment,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trust,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measured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questionnaire</w:t>
      </w:r>
      <w:r>
        <w:rPr>
          <w:spacing w:val="4"/>
        </w:rPr>
        <w:t> </w:t>
      </w:r>
      <w:r>
        <w:rPr/>
        <w:t>by</w:t>
      </w:r>
      <w:r>
        <w:rPr>
          <w:spacing w:val="-6"/>
        </w:rPr>
        <w:t> </w:t>
      </w:r>
      <w:r>
        <w:rPr/>
        <w:t>using</w:t>
      </w:r>
      <w:r>
        <w:rPr>
          <w:spacing w:val="6"/>
        </w:rPr>
        <w:t> </w:t>
      </w:r>
      <w:r>
        <w:rPr/>
        <w:t>Likert</w:t>
      </w:r>
      <w:r>
        <w:rPr>
          <w:spacing w:val="4"/>
        </w:rPr>
        <w:t> </w:t>
      </w:r>
      <w:r>
        <w:rPr/>
        <w:t>scale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ranged</w:t>
      </w:r>
      <w:r>
        <w:rPr>
          <w:spacing w:val="2"/>
        </w:rPr>
        <w:t> </w:t>
      </w:r>
      <w:r>
        <w:rPr/>
        <w:t>from</w:t>
      </w:r>
      <w:r>
        <w:rPr>
          <w:spacing w:val="4"/>
        </w:rPr>
        <w:t> </w:t>
      </w:r>
      <w:r>
        <w:rPr/>
        <w:t>1</w:t>
      </w:r>
      <w:r>
        <w:rPr>
          <w:spacing w:val="2"/>
        </w:rPr>
        <w:t> </w:t>
      </w:r>
      <w:r>
        <w:rPr/>
        <w:t>=</w:t>
      </w:r>
      <w:r>
        <w:rPr>
          <w:spacing w:val="3"/>
        </w:rPr>
        <w:t> </w:t>
      </w:r>
      <w:r>
        <w:rPr/>
        <w:t>strongly</w:t>
      </w:r>
      <w:r>
        <w:rPr>
          <w:spacing w:val="-2"/>
        </w:rPr>
        <w:t> </w:t>
      </w:r>
      <w:r>
        <w:rPr/>
        <w:t>disagree</w:t>
      </w:r>
      <w:r>
        <w:rPr>
          <w:spacing w:val="4"/>
        </w:rPr>
        <w:t> </w:t>
      </w:r>
      <w:r>
        <w:rPr/>
        <w:t>to</w:t>
      </w:r>
      <w:r>
        <w:rPr>
          <w:spacing w:val="2"/>
        </w:rPr>
        <w:t> </w:t>
      </w:r>
      <w:r>
        <w:rPr/>
        <w:t>5</w:t>
      </w:r>
    </w:p>
    <w:p>
      <w:pPr>
        <w:pStyle w:val="BodyText"/>
        <w:spacing w:before="1"/>
      </w:pPr>
      <w:r>
        <w:rPr/>
        <w:t>=</w:t>
      </w:r>
      <w:r>
        <w:rPr>
          <w:spacing w:val="22"/>
        </w:rPr>
        <w:t> </w:t>
      </w:r>
      <w:r>
        <w:rPr/>
        <w:t>strongly</w:t>
      </w:r>
      <w:r>
        <w:rPr>
          <w:spacing w:val="13"/>
        </w:rPr>
        <w:t> </w:t>
      </w:r>
      <w:r>
        <w:rPr/>
        <w:t>agree.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hypothesis</w:t>
      </w:r>
      <w:r>
        <w:rPr>
          <w:spacing w:val="20"/>
        </w:rPr>
        <w:t> </w:t>
      </w:r>
      <w:r>
        <w:rPr/>
        <w:t>were</w:t>
      </w:r>
      <w:r>
        <w:rPr>
          <w:spacing w:val="22"/>
        </w:rPr>
        <w:t> </w:t>
      </w:r>
      <w:r>
        <w:rPr/>
        <w:t>tested</w:t>
      </w:r>
      <w:r>
        <w:rPr>
          <w:spacing w:val="21"/>
        </w:rPr>
        <w:t> </w:t>
      </w:r>
      <w:r>
        <w:rPr/>
        <w:t>using</w:t>
      </w:r>
      <w:r>
        <w:rPr>
          <w:spacing w:val="17"/>
        </w:rPr>
        <w:t> </w:t>
      </w:r>
      <w:r>
        <w:rPr/>
        <w:t>Partial</w:t>
      </w:r>
      <w:r>
        <w:rPr>
          <w:spacing w:val="22"/>
        </w:rPr>
        <w:t> </w:t>
      </w:r>
      <w:r>
        <w:rPr/>
        <w:t>Least</w:t>
      </w:r>
      <w:r>
        <w:rPr>
          <w:spacing w:val="22"/>
        </w:rPr>
        <w:t> </w:t>
      </w:r>
      <w:r>
        <w:rPr/>
        <w:t>Square</w:t>
      </w:r>
      <w:r>
        <w:rPr>
          <w:spacing w:val="22"/>
        </w:rPr>
        <w:t> </w:t>
      </w:r>
      <w:r>
        <w:rPr/>
        <w:t>Structural</w:t>
      </w:r>
      <w:r>
        <w:rPr>
          <w:spacing w:val="19"/>
        </w:rPr>
        <w:t> </w:t>
      </w:r>
      <w:r>
        <w:rPr/>
        <w:t>Equation</w:t>
      </w:r>
    </w:p>
    <w:p>
      <w:pPr>
        <w:spacing w:after="0"/>
        <w:sectPr>
          <w:pgSz w:w="11910" w:h="16840"/>
          <w:pgMar w:header="0" w:footer="998" w:top="1320" w:bottom="1180" w:left="1180" w:right="1300"/>
        </w:sectPr>
      </w:pPr>
    </w:p>
    <w:p>
      <w:pPr>
        <w:pStyle w:val="BodyText"/>
        <w:spacing w:before="72"/>
        <w:ind w:right="118"/>
      </w:pPr>
      <w:r>
        <w:rPr/>
        <w:t>Model (PLS SEM). The total of return questionnaire was 258. After examining the damaged</w:t>
      </w:r>
      <w:r>
        <w:rPr>
          <w:spacing w:val="1"/>
        </w:rPr>
        <w:t> </w:t>
      </w:r>
      <w:r>
        <w:rPr/>
        <w:t>questionnaire and outlier data, it was finally remained 217 data (84%) which is suitable for</w:t>
      </w:r>
      <w:r>
        <w:rPr>
          <w:spacing w:val="1"/>
        </w:rPr>
        <w:t> </w:t>
      </w:r>
      <w:r>
        <w:rPr/>
        <w:t>analysis.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spacing w:line="240" w:lineRule="auto"/>
      </w:pPr>
      <w:r>
        <w:rPr/>
        <w:t>Findings</w:t>
      </w:r>
      <w:r>
        <w:rPr>
          <w:spacing w:val="-6"/>
        </w:rPr>
        <w:t> </w:t>
      </w:r>
      <w:r>
        <w:rPr/>
        <w:t>&amp; Discussion</w:t>
      </w:r>
    </w:p>
    <w:p>
      <w:pPr>
        <w:pStyle w:val="BodyText"/>
        <w:ind w:left="0"/>
        <w:jc w:val="left"/>
        <w:rPr>
          <w:b/>
        </w:rPr>
      </w:pPr>
    </w:p>
    <w:p>
      <w:pPr>
        <w:spacing w:line="274" w:lineRule="exact" w:before="0"/>
        <w:ind w:left="236" w:right="0" w:firstLine="0"/>
        <w:jc w:val="both"/>
        <w:rPr>
          <w:b/>
          <w:sz w:val="24"/>
        </w:rPr>
      </w:pPr>
      <w:r>
        <w:rPr>
          <w:b/>
          <w:sz w:val="24"/>
        </w:rPr>
        <w:t>Demographics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characteristics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respondents</w:t>
      </w:r>
    </w:p>
    <w:p>
      <w:pPr>
        <w:pStyle w:val="BodyText"/>
        <w:ind w:right="113" w:firstLine="719"/>
      </w:pPr>
      <w:r>
        <w:rPr/>
        <w:t>Some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study: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 occupation and average income per month, and these results are summarized in</w:t>
      </w:r>
      <w:r>
        <w:rPr>
          <w:spacing w:val="1"/>
        </w:rPr>
        <w:t> </w:t>
      </w:r>
      <w:r>
        <w:rPr/>
        <w:t>Table I. In terms of age, 75.58 percent of the respondents were between 17-25 years; 14.29</w:t>
      </w:r>
      <w:r>
        <w:rPr>
          <w:spacing w:val="1"/>
        </w:rPr>
        <w:t> </w:t>
      </w:r>
      <w:r>
        <w:rPr/>
        <w:t>percent were between 26-35 years; 5.99 percent were between 36-45 years, 2.30 percent were</w:t>
      </w:r>
      <w:r>
        <w:rPr>
          <w:spacing w:val="1"/>
        </w:rPr>
        <w:t> </w:t>
      </w:r>
      <w:r>
        <w:rPr/>
        <w:t>between 46-55 years while 1.84 percent were 56 years and above. In terms of gender, 58.99</w:t>
      </w:r>
      <w:r>
        <w:rPr>
          <w:spacing w:val="1"/>
        </w:rPr>
        <w:t> </w:t>
      </w:r>
      <w:r>
        <w:rPr/>
        <w:t>percent of the respondents were females and 41.01 percent were males. In terms of education,</w:t>
      </w:r>
      <w:r>
        <w:rPr>
          <w:spacing w:val="1"/>
        </w:rPr>
        <w:t> </w:t>
      </w:r>
      <w:r>
        <w:rPr/>
        <w:t>about 52.07 percent of them were senior high levels of education, 4.15 percent had Diploma</w:t>
      </w:r>
      <w:r>
        <w:rPr>
          <w:spacing w:val="1"/>
        </w:rPr>
        <w:t> </w:t>
      </w:r>
      <w:r>
        <w:rPr/>
        <w:t>III level education; 32.72</w:t>
      </w:r>
      <w:r>
        <w:rPr>
          <w:spacing w:val="1"/>
        </w:rPr>
        <w:t> </w:t>
      </w:r>
      <w:r>
        <w:rPr/>
        <w:t>percent had Diploma IV or Bachelor level education; 10.14 percent</w:t>
      </w:r>
      <w:r>
        <w:rPr>
          <w:spacing w:val="1"/>
        </w:rPr>
        <w:t> </w:t>
      </w:r>
      <w:r>
        <w:rPr/>
        <w:t>had Masteral degree and 0.92 percent had Doctoral degree degree level of education. In terms</w:t>
      </w:r>
      <w:r>
        <w:rPr>
          <w:spacing w:val="1"/>
        </w:rPr>
        <w:t> </w:t>
      </w:r>
      <w:r>
        <w:rPr/>
        <w:t>of occupation, about 48.85 percent of the respondents were student, 3.23 percent were civil</w:t>
      </w:r>
      <w:r>
        <w:rPr>
          <w:spacing w:val="1"/>
        </w:rPr>
        <w:t> </w:t>
      </w:r>
      <w:r>
        <w:rPr/>
        <w:t>servant, 37.79 percent were employee, 7.83 percent were entrepreneur, and 2.30 percent were</w:t>
      </w:r>
      <w:r>
        <w:rPr>
          <w:spacing w:val="1"/>
        </w:rPr>
        <w:t> </w:t>
      </w:r>
      <w:r>
        <w:rPr/>
        <w:t>house wife. In terms of monthly income, about 23.04 percent were non-income earners, 23.04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earned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monthly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Rp2.515.000,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33.18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earned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monthly income between Rp2.515.000 - Rp5.000.000, 7.83 percent earned a monthly income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Rp5.000.001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Rp7.500.000,</w:t>
      </w:r>
      <w:r>
        <w:rPr>
          <w:spacing w:val="1"/>
        </w:rPr>
        <w:t> </w:t>
      </w:r>
      <w:r>
        <w:rPr/>
        <w:t>5.07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earned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monthly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Rp7.500.001 - Rp10.000.000, and 7.83 percent earned a monthly income above Rp10.000.000</w:t>
      </w:r>
      <w:r>
        <w:rPr>
          <w:spacing w:val="-57"/>
        </w:rPr>
        <w:t> </w:t>
      </w:r>
      <w:r>
        <w:rPr/>
        <w:t>(see Table</w:t>
      </w:r>
      <w:r>
        <w:rPr>
          <w:spacing w:val="1"/>
        </w:rPr>
        <w:t> </w:t>
      </w:r>
      <w:r>
        <w:rPr/>
        <w:t>I).</w:t>
      </w:r>
    </w:p>
    <w:p>
      <w:pPr>
        <w:pStyle w:val="BodyText"/>
        <w:ind w:left="0"/>
        <w:jc w:val="left"/>
      </w:pPr>
    </w:p>
    <w:p>
      <w:pPr>
        <w:pStyle w:val="BodyText"/>
      </w:pPr>
      <w:r>
        <w:rPr/>
        <w:t>Table I.</w:t>
      </w:r>
      <w:r>
        <w:rPr>
          <w:spacing w:val="-1"/>
        </w:rPr>
        <w:t> </w:t>
      </w:r>
      <w:r>
        <w:rPr/>
        <w:t>Demographics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</w:p>
    <w:p>
      <w:pPr>
        <w:pStyle w:val="BodyText"/>
        <w:spacing w:before="8"/>
        <w:ind w:left="0"/>
        <w:jc w:val="left"/>
      </w:pPr>
    </w:p>
    <w:p>
      <w:pPr>
        <w:pStyle w:val="BodyText"/>
        <w:spacing w:line="20" w:lineRule="exact"/>
        <w:ind w:left="128"/>
        <w:jc w:val="left"/>
        <w:rPr>
          <w:sz w:val="2"/>
        </w:rPr>
      </w:pPr>
      <w:r>
        <w:rPr>
          <w:sz w:val="2"/>
        </w:rPr>
        <w:pict>
          <v:group style="width:422.95pt;height:.4pt;mso-position-horizontal-relative:char;mso-position-vertical-relative:line" coordorigin="0,0" coordsize="8459,8">
            <v:shape style="position:absolute;left:0;top:0;width:8459;height:8" coordorigin="0,0" coordsize="8459,8" path="m2336,0l0,0,0,8,2336,8,2336,0xm5313,0l5306,0,2345,0,2337,0,2337,8,2345,8,5306,8,5313,8,5313,0xm6838,0l5314,0,5314,8,6838,8,6838,0xm6846,0l6838,0,6838,8,6846,8,6846,0xm8459,0l6846,0,6846,8,8459,8,845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jc w:val="left"/>
        <w:rPr>
          <w:sz w:val="2"/>
        </w:rPr>
        <w:sectPr>
          <w:pgSz w:w="11910" w:h="16840"/>
          <w:pgMar w:header="0" w:footer="998" w:top="1320" w:bottom="1180" w:left="1180" w:right="1300"/>
        </w:sectPr>
      </w:pPr>
    </w:p>
    <w:p>
      <w:pPr>
        <w:pStyle w:val="Heading1"/>
        <w:spacing w:line="240" w:lineRule="auto"/>
        <w:ind w:left="948" w:right="28" w:hanging="345"/>
        <w:jc w:val="left"/>
      </w:pPr>
      <w:r>
        <w:rPr>
          <w:spacing w:val="-1"/>
        </w:rPr>
        <w:t>Demographic</w:t>
      </w:r>
      <w:r>
        <w:rPr>
          <w:spacing w:val="-57"/>
        </w:rPr>
        <w:t> </w:t>
      </w:r>
      <w:r>
        <w:rPr/>
        <w:t>Profile</w:t>
      </w:r>
    </w:p>
    <w:p>
      <w:pPr>
        <w:tabs>
          <w:tab w:pos="2784" w:val="left" w:leader="none"/>
          <w:tab w:pos="4309" w:val="left" w:leader="none"/>
        </w:tabs>
        <w:spacing w:line="122" w:lineRule="auto" w:before="93"/>
        <w:ind w:left="4441" w:right="1052" w:hanging="3837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Category</w:t>
        <w:tab/>
        <w:t>Frequency</w:t>
        <w:tab/>
      </w:r>
      <w:r>
        <w:rPr>
          <w:b/>
          <w:position w:val="14"/>
          <w:sz w:val="24"/>
        </w:rPr>
        <w:t>Ratio</w:t>
      </w:r>
      <w:r>
        <w:rPr>
          <w:b/>
          <w:spacing w:val="-12"/>
          <w:position w:val="14"/>
          <w:sz w:val="24"/>
        </w:rPr>
        <w:t> </w:t>
      </w:r>
      <w:r>
        <w:rPr>
          <w:b/>
          <w:position w:val="14"/>
          <w:sz w:val="24"/>
        </w:rPr>
        <w:t>(%</w:t>
      </w:r>
      <w:r>
        <w:rPr>
          <w:b/>
          <w:spacing w:val="-8"/>
          <w:position w:val="14"/>
          <w:sz w:val="24"/>
        </w:rPr>
        <w:t> </w:t>
      </w:r>
      <w:r>
        <w:rPr>
          <w:b/>
          <w:position w:val="14"/>
          <w:sz w:val="24"/>
        </w:rPr>
        <w:t>of</w:t>
      </w:r>
      <w:r>
        <w:rPr>
          <w:b/>
          <w:spacing w:val="-57"/>
          <w:position w:val="1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total)</w:t>
      </w:r>
    </w:p>
    <w:p>
      <w:pPr>
        <w:spacing w:after="0" w:line="122" w:lineRule="auto"/>
        <w:jc w:val="left"/>
        <w:rPr>
          <w:sz w:val="24"/>
        </w:rPr>
        <w:sectPr>
          <w:type w:val="continuous"/>
          <w:pgSz w:w="11910" w:h="16840"/>
          <w:pgMar w:top="1340" w:bottom="1180" w:left="1180" w:right="1300"/>
          <w:cols w:num="2" w:equalWidth="0">
            <w:col w:w="2027" w:space="843"/>
            <w:col w:w="6560"/>
          </w:cols>
        </w:sect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1"/>
        <w:gridCol w:w="3286"/>
        <w:gridCol w:w="1309"/>
        <w:gridCol w:w="1643"/>
      </w:tblGrid>
      <w:tr>
        <w:trPr>
          <w:trHeight w:val="272" w:hRule="atLeast"/>
        </w:trPr>
        <w:tc>
          <w:tcPr>
            <w:tcW w:w="22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32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223"/>
              <w:rPr>
                <w:sz w:val="24"/>
              </w:rPr>
            </w:pPr>
            <w:r>
              <w:rPr>
                <w:sz w:val="24"/>
              </w:rPr>
              <w:t>17-25</w:t>
            </w:r>
          </w:p>
        </w:tc>
        <w:tc>
          <w:tcPr>
            <w:tcW w:w="13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387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6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542" w:right="521"/>
              <w:jc w:val="center"/>
              <w:rPr>
                <w:sz w:val="24"/>
              </w:rPr>
            </w:pPr>
            <w:r>
              <w:rPr>
                <w:sz w:val="24"/>
              </w:rPr>
              <w:t>75.58</w:t>
            </w:r>
          </w:p>
        </w:tc>
      </w:tr>
      <w:tr>
        <w:trPr>
          <w:trHeight w:val="276" w:hRule="atLeast"/>
        </w:trPr>
        <w:tc>
          <w:tcPr>
            <w:tcW w:w="222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26-35</w:t>
            </w:r>
          </w:p>
        </w:tc>
        <w:tc>
          <w:tcPr>
            <w:tcW w:w="1309" w:type="dxa"/>
          </w:tcPr>
          <w:p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643" w:type="dxa"/>
          </w:tcPr>
          <w:p>
            <w:pPr>
              <w:pStyle w:val="TableParagraph"/>
              <w:ind w:left="542" w:right="521"/>
              <w:jc w:val="center"/>
              <w:rPr>
                <w:sz w:val="24"/>
              </w:rPr>
            </w:pPr>
            <w:r>
              <w:rPr>
                <w:sz w:val="24"/>
              </w:rPr>
              <w:t>14.29</w:t>
            </w:r>
          </w:p>
        </w:tc>
      </w:tr>
      <w:tr>
        <w:trPr>
          <w:trHeight w:val="276" w:hRule="atLeast"/>
        </w:trPr>
        <w:tc>
          <w:tcPr>
            <w:tcW w:w="222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36-45</w:t>
            </w:r>
          </w:p>
        </w:tc>
        <w:tc>
          <w:tcPr>
            <w:tcW w:w="1309" w:type="dxa"/>
          </w:tcPr>
          <w:p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43" w:type="dxa"/>
          </w:tcPr>
          <w:p>
            <w:pPr>
              <w:pStyle w:val="TableParagraph"/>
              <w:ind w:left="542" w:right="521"/>
              <w:jc w:val="center"/>
              <w:rPr>
                <w:sz w:val="24"/>
              </w:rPr>
            </w:pPr>
            <w:r>
              <w:rPr>
                <w:sz w:val="24"/>
              </w:rPr>
              <w:t>5.99</w:t>
            </w:r>
          </w:p>
        </w:tc>
      </w:tr>
      <w:tr>
        <w:trPr>
          <w:trHeight w:val="275" w:hRule="atLeast"/>
        </w:trPr>
        <w:tc>
          <w:tcPr>
            <w:tcW w:w="222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46-55</w:t>
            </w:r>
          </w:p>
        </w:tc>
        <w:tc>
          <w:tcPr>
            <w:tcW w:w="1309" w:type="dxa"/>
          </w:tcPr>
          <w:p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3" w:type="dxa"/>
          </w:tcPr>
          <w:p>
            <w:pPr>
              <w:pStyle w:val="TableParagraph"/>
              <w:ind w:left="542" w:right="521"/>
              <w:jc w:val="center"/>
              <w:rPr>
                <w:sz w:val="24"/>
              </w:rPr>
            </w:pPr>
            <w:r>
              <w:rPr>
                <w:sz w:val="24"/>
              </w:rPr>
              <w:t>2.30</w:t>
            </w:r>
          </w:p>
        </w:tc>
      </w:tr>
      <w:tr>
        <w:trPr>
          <w:trHeight w:val="275" w:hRule="atLeast"/>
        </w:trPr>
        <w:tc>
          <w:tcPr>
            <w:tcW w:w="222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56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older</w:t>
            </w:r>
          </w:p>
        </w:tc>
        <w:tc>
          <w:tcPr>
            <w:tcW w:w="1309" w:type="dxa"/>
          </w:tcPr>
          <w:p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3" w:type="dxa"/>
          </w:tcPr>
          <w:p>
            <w:pPr>
              <w:pStyle w:val="TableParagraph"/>
              <w:ind w:left="542" w:right="521"/>
              <w:jc w:val="center"/>
              <w:rPr>
                <w:sz w:val="24"/>
              </w:rPr>
            </w:pPr>
            <w:r>
              <w:rPr>
                <w:sz w:val="24"/>
              </w:rPr>
              <w:t>1.84</w:t>
            </w:r>
          </w:p>
        </w:tc>
      </w:tr>
      <w:tr>
        <w:trPr>
          <w:trHeight w:val="275" w:hRule="atLeast"/>
        </w:trPr>
        <w:tc>
          <w:tcPr>
            <w:tcW w:w="222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3286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309" w:type="dxa"/>
          </w:tcPr>
          <w:p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643" w:type="dxa"/>
          </w:tcPr>
          <w:p>
            <w:pPr>
              <w:pStyle w:val="TableParagraph"/>
              <w:ind w:left="542" w:right="521"/>
              <w:jc w:val="center"/>
              <w:rPr>
                <w:sz w:val="24"/>
              </w:rPr>
            </w:pPr>
            <w:r>
              <w:rPr>
                <w:sz w:val="24"/>
              </w:rPr>
              <w:t>41.01</w:t>
            </w:r>
          </w:p>
        </w:tc>
      </w:tr>
      <w:tr>
        <w:trPr>
          <w:trHeight w:val="276" w:hRule="atLeast"/>
        </w:trPr>
        <w:tc>
          <w:tcPr>
            <w:tcW w:w="222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309" w:type="dxa"/>
          </w:tcPr>
          <w:p>
            <w:pPr>
              <w:pStyle w:val="TableParagraph"/>
              <w:ind w:left="387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643" w:type="dxa"/>
          </w:tcPr>
          <w:p>
            <w:pPr>
              <w:pStyle w:val="TableParagraph"/>
              <w:ind w:left="542" w:right="521"/>
              <w:jc w:val="center"/>
              <w:rPr>
                <w:sz w:val="24"/>
              </w:rPr>
            </w:pPr>
            <w:r>
              <w:rPr>
                <w:sz w:val="24"/>
              </w:rPr>
              <w:t>58.99</w:t>
            </w:r>
          </w:p>
        </w:tc>
      </w:tr>
      <w:tr>
        <w:trPr>
          <w:trHeight w:val="276" w:hRule="atLeast"/>
        </w:trPr>
        <w:tc>
          <w:tcPr>
            <w:tcW w:w="222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3286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Junior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1309" w:type="dxa"/>
          </w:tcPr>
          <w:p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222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1309" w:type="dxa"/>
          </w:tcPr>
          <w:p>
            <w:pPr>
              <w:pStyle w:val="TableParagraph"/>
              <w:ind w:left="387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643" w:type="dxa"/>
          </w:tcPr>
          <w:p>
            <w:pPr>
              <w:pStyle w:val="TableParagraph"/>
              <w:ind w:left="542" w:right="521"/>
              <w:jc w:val="center"/>
              <w:rPr>
                <w:sz w:val="24"/>
              </w:rPr>
            </w:pPr>
            <w:r>
              <w:rPr>
                <w:sz w:val="24"/>
              </w:rPr>
              <w:t>52.07</w:t>
            </w:r>
          </w:p>
        </w:tc>
      </w:tr>
      <w:tr>
        <w:trPr>
          <w:trHeight w:val="276" w:hRule="atLeast"/>
        </w:trPr>
        <w:tc>
          <w:tcPr>
            <w:tcW w:w="222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Diploma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1309" w:type="dxa"/>
          </w:tcPr>
          <w:p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43" w:type="dxa"/>
          </w:tcPr>
          <w:p>
            <w:pPr>
              <w:pStyle w:val="TableParagraph"/>
              <w:ind w:left="542" w:right="521"/>
              <w:jc w:val="center"/>
              <w:rPr>
                <w:sz w:val="24"/>
              </w:rPr>
            </w:pPr>
            <w:r>
              <w:rPr>
                <w:sz w:val="24"/>
              </w:rPr>
              <w:t>4.15</w:t>
            </w:r>
          </w:p>
        </w:tc>
      </w:tr>
      <w:tr>
        <w:trPr>
          <w:trHeight w:val="276" w:hRule="atLeast"/>
        </w:trPr>
        <w:tc>
          <w:tcPr>
            <w:tcW w:w="222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Diploma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IV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Bachelor</w:t>
            </w:r>
          </w:p>
        </w:tc>
        <w:tc>
          <w:tcPr>
            <w:tcW w:w="1309" w:type="dxa"/>
          </w:tcPr>
          <w:p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643" w:type="dxa"/>
          </w:tcPr>
          <w:p>
            <w:pPr>
              <w:pStyle w:val="TableParagraph"/>
              <w:ind w:left="542" w:right="521"/>
              <w:jc w:val="center"/>
              <w:rPr>
                <w:sz w:val="24"/>
              </w:rPr>
            </w:pPr>
            <w:r>
              <w:rPr>
                <w:sz w:val="24"/>
              </w:rPr>
              <w:t>32.72</w:t>
            </w:r>
          </w:p>
        </w:tc>
      </w:tr>
      <w:tr>
        <w:trPr>
          <w:trHeight w:val="275" w:hRule="atLeast"/>
        </w:trPr>
        <w:tc>
          <w:tcPr>
            <w:tcW w:w="222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Masteral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Degree</w:t>
            </w:r>
          </w:p>
        </w:tc>
        <w:tc>
          <w:tcPr>
            <w:tcW w:w="1309" w:type="dxa"/>
          </w:tcPr>
          <w:p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43" w:type="dxa"/>
          </w:tcPr>
          <w:p>
            <w:pPr>
              <w:pStyle w:val="TableParagraph"/>
              <w:ind w:left="542" w:right="521"/>
              <w:jc w:val="center"/>
              <w:rPr>
                <w:sz w:val="24"/>
              </w:rPr>
            </w:pPr>
            <w:r>
              <w:rPr>
                <w:sz w:val="24"/>
              </w:rPr>
              <w:t>10.14</w:t>
            </w:r>
          </w:p>
        </w:tc>
      </w:tr>
      <w:tr>
        <w:trPr>
          <w:trHeight w:val="276" w:hRule="atLeast"/>
        </w:trPr>
        <w:tc>
          <w:tcPr>
            <w:tcW w:w="222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Doctoral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Degree</w:t>
            </w:r>
          </w:p>
        </w:tc>
        <w:tc>
          <w:tcPr>
            <w:tcW w:w="1309" w:type="dxa"/>
          </w:tcPr>
          <w:p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542" w:right="521"/>
              <w:jc w:val="center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</w:tr>
      <w:tr>
        <w:trPr>
          <w:trHeight w:val="275" w:hRule="atLeast"/>
        </w:trPr>
        <w:tc>
          <w:tcPr>
            <w:tcW w:w="222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Occupation</w:t>
            </w:r>
          </w:p>
        </w:tc>
        <w:tc>
          <w:tcPr>
            <w:tcW w:w="3286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Student</w:t>
            </w:r>
          </w:p>
        </w:tc>
        <w:tc>
          <w:tcPr>
            <w:tcW w:w="1309" w:type="dxa"/>
          </w:tcPr>
          <w:p>
            <w:pPr>
              <w:pStyle w:val="TableParagraph"/>
              <w:ind w:left="387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643" w:type="dxa"/>
          </w:tcPr>
          <w:p>
            <w:pPr>
              <w:pStyle w:val="TableParagraph"/>
              <w:ind w:left="542" w:right="521"/>
              <w:jc w:val="center"/>
              <w:rPr>
                <w:sz w:val="24"/>
              </w:rPr>
            </w:pPr>
            <w:r>
              <w:rPr>
                <w:sz w:val="24"/>
              </w:rPr>
              <w:t>48.85</w:t>
            </w:r>
          </w:p>
        </w:tc>
      </w:tr>
      <w:tr>
        <w:trPr>
          <w:trHeight w:val="276" w:hRule="atLeast"/>
        </w:trPr>
        <w:tc>
          <w:tcPr>
            <w:tcW w:w="222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Civil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Servant</w:t>
            </w:r>
          </w:p>
        </w:tc>
        <w:tc>
          <w:tcPr>
            <w:tcW w:w="1309" w:type="dxa"/>
          </w:tcPr>
          <w:p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43" w:type="dxa"/>
          </w:tcPr>
          <w:p>
            <w:pPr>
              <w:pStyle w:val="TableParagraph"/>
              <w:ind w:left="542" w:right="521"/>
              <w:jc w:val="center"/>
              <w:rPr>
                <w:sz w:val="24"/>
              </w:rPr>
            </w:pPr>
            <w:r>
              <w:rPr>
                <w:sz w:val="24"/>
              </w:rPr>
              <w:t>3.23</w:t>
            </w:r>
          </w:p>
        </w:tc>
      </w:tr>
      <w:tr>
        <w:trPr>
          <w:trHeight w:val="276" w:hRule="atLeast"/>
        </w:trPr>
        <w:tc>
          <w:tcPr>
            <w:tcW w:w="222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Employee</w:t>
            </w:r>
          </w:p>
        </w:tc>
        <w:tc>
          <w:tcPr>
            <w:tcW w:w="1309" w:type="dxa"/>
          </w:tcPr>
          <w:p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643" w:type="dxa"/>
          </w:tcPr>
          <w:p>
            <w:pPr>
              <w:pStyle w:val="TableParagraph"/>
              <w:ind w:left="542" w:right="521"/>
              <w:jc w:val="center"/>
              <w:rPr>
                <w:sz w:val="24"/>
              </w:rPr>
            </w:pPr>
            <w:r>
              <w:rPr>
                <w:sz w:val="24"/>
              </w:rPr>
              <w:t>37.79</w:t>
            </w:r>
          </w:p>
        </w:tc>
      </w:tr>
      <w:tr>
        <w:trPr>
          <w:trHeight w:val="275" w:hRule="atLeast"/>
        </w:trPr>
        <w:tc>
          <w:tcPr>
            <w:tcW w:w="222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Entrepreneur</w:t>
            </w:r>
          </w:p>
        </w:tc>
        <w:tc>
          <w:tcPr>
            <w:tcW w:w="1309" w:type="dxa"/>
          </w:tcPr>
          <w:p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43" w:type="dxa"/>
          </w:tcPr>
          <w:p>
            <w:pPr>
              <w:pStyle w:val="TableParagraph"/>
              <w:ind w:left="542" w:right="521"/>
              <w:jc w:val="center"/>
              <w:rPr>
                <w:sz w:val="24"/>
              </w:rPr>
            </w:pPr>
            <w:r>
              <w:rPr>
                <w:sz w:val="24"/>
              </w:rPr>
              <w:t>7.83</w:t>
            </w:r>
          </w:p>
        </w:tc>
      </w:tr>
      <w:tr>
        <w:trPr>
          <w:trHeight w:val="276" w:hRule="atLeast"/>
        </w:trPr>
        <w:tc>
          <w:tcPr>
            <w:tcW w:w="222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House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Wife</w:t>
            </w:r>
          </w:p>
        </w:tc>
        <w:tc>
          <w:tcPr>
            <w:tcW w:w="1309" w:type="dxa"/>
          </w:tcPr>
          <w:p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3" w:type="dxa"/>
          </w:tcPr>
          <w:p>
            <w:pPr>
              <w:pStyle w:val="TableParagraph"/>
              <w:ind w:left="542" w:right="521"/>
              <w:jc w:val="center"/>
              <w:rPr>
                <w:sz w:val="24"/>
              </w:rPr>
            </w:pPr>
            <w:r>
              <w:rPr>
                <w:sz w:val="24"/>
              </w:rPr>
              <w:t>2.30</w:t>
            </w:r>
          </w:p>
        </w:tc>
      </w:tr>
      <w:tr>
        <w:trPr>
          <w:trHeight w:val="276" w:hRule="atLeast"/>
        </w:trPr>
        <w:tc>
          <w:tcPr>
            <w:tcW w:w="222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distribution</w:t>
            </w:r>
          </w:p>
        </w:tc>
        <w:tc>
          <w:tcPr>
            <w:tcW w:w="3286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Non-income earners</w:t>
            </w:r>
          </w:p>
        </w:tc>
        <w:tc>
          <w:tcPr>
            <w:tcW w:w="1309" w:type="dxa"/>
          </w:tcPr>
          <w:p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43" w:type="dxa"/>
          </w:tcPr>
          <w:p>
            <w:pPr>
              <w:pStyle w:val="TableParagraph"/>
              <w:ind w:left="542" w:right="521"/>
              <w:jc w:val="center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</w:tr>
      <w:tr>
        <w:trPr>
          <w:trHeight w:val="276" w:hRule="atLeast"/>
        </w:trPr>
        <w:tc>
          <w:tcPr>
            <w:tcW w:w="222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Rp2.515.000</w:t>
            </w:r>
          </w:p>
        </w:tc>
        <w:tc>
          <w:tcPr>
            <w:tcW w:w="1309" w:type="dxa"/>
          </w:tcPr>
          <w:p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43" w:type="dxa"/>
          </w:tcPr>
          <w:p>
            <w:pPr>
              <w:pStyle w:val="TableParagraph"/>
              <w:ind w:left="542" w:right="521"/>
              <w:jc w:val="center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</w:tr>
      <w:tr>
        <w:trPr>
          <w:trHeight w:val="275" w:hRule="atLeast"/>
        </w:trPr>
        <w:tc>
          <w:tcPr>
            <w:tcW w:w="222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Rp2.515.000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Rp5.000.000</w:t>
            </w:r>
          </w:p>
        </w:tc>
        <w:tc>
          <w:tcPr>
            <w:tcW w:w="1309" w:type="dxa"/>
          </w:tcPr>
          <w:p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643" w:type="dxa"/>
          </w:tcPr>
          <w:p>
            <w:pPr>
              <w:pStyle w:val="TableParagraph"/>
              <w:ind w:left="542" w:right="521"/>
              <w:jc w:val="center"/>
              <w:rPr>
                <w:sz w:val="24"/>
              </w:rPr>
            </w:pPr>
            <w:r>
              <w:rPr>
                <w:sz w:val="24"/>
              </w:rPr>
              <w:t>33.18</w:t>
            </w:r>
          </w:p>
        </w:tc>
      </w:tr>
      <w:tr>
        <w:trPr>
          <w:trHeight w:val="270" w:hRule="atLeast"/>
        </w:trPr>
        <w:tc>
          <w:tcPr>
            <w:tcW w:w="222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51" w:lineRule="exact"/>
              <w:ind w:left="223"/>
              <w:rPr>
                <w:sz w:val="24"/>
              </w:rPr>
            </w:pPr>
            <w:r>
              <w:rPr>
                <w:sz w:val="24"/>
              </w:rPr>
              <w:t>Rp5.000.001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Rp7.500.000</w:t>
            </w:r>
          </w:p>
        </w:tc>
        <w:tc>
          <w:tcPr>
            <w:tcW w:w="1309" w:type="dxa"/>
          </w:tcPr>
          <w:p>
            <w:pPr>
              <w:pStyle w:val="TableParagraph"/>
              <w:spacing w:line="251" w:lineRule="exact"/>
              <w:ind w:left="44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43" w:type="dxa"/>
          </w:tcPr>
          <w:p>
            <w:pPr>
              <w:pStyle w:val="TableParagraph"/>
              <w:spacing w:line="251" w:lineRule="exact"/>
              <w:ind w:left="542" w:right="521"/>
              <w:jc w:val="center"/>
              <w:rPr>
                <w:sz w:val="24"/>
              </w:rPr>
            </w:pPr>
            <w:r>
              <w:rPr>
                <w:sz w:val="24"/>
              </w:rPr>
              <w:t>7.83</w:t>
            </w:r>
          </w:p>
        </w:tc>
      </w:tr>
    </w:tbl>
    <w:p>
      <w:pPr>
        <w:spacing w:after="0" w:line="251" w:lineRule="exact"/>
        <w:jc w:val="center"/>
        <w:rPr>
          <w:sz w:val="24"/>
        </w:rPr>
        <w:sectPr>
          <w:type w:val="continuous"/>
          <w:pgSz w:w="11910" w:h="16840"/>
          <w:pgMar w:top="1340" w:bottom="1180" w:left="1180" w:right="1300"/>
        </w:sectPr>
      </w:pPr>
    </w:p>
    <w:p>
      <w:pPr>
        <w:pStyle w:val="BodyText"/>
        <w:spacing w:before="72"/>
        <w:ind w:left="2573" w:right="-4"/>
        <w:jc w:val="left"/>
      </w:pPr>
      <w:r>
        <w:rPr/>
        <w:t>Rp7.500.001</w:t>
      </w:r>
      <w:r>
        <w:rPr>
          <w:spacing w:val="-15"/>
        </w:rPr>
        <w:t> </w:t>
      </w:r>
      <w:r>
        <w:rPr/>
        <w:t>-</w:t>
      </w:r>
      <w:r>
        <w:rPr>
          <w:spacing w:val="-57"/>
        </w:rPr>
        <w:t> </w:t>
      </w:r>
      <w:r>
        <w:rPr/>
        <w:t>Rp10.000.000</w:t>
      </w:r>
    </w:p>
    <w:p>
      <w:pPr>
        <w:pStyle w:val="BodyText"/>
        <w:tabs>
          <w:tab w:pos="3572" w:val="left" w:leader="none"/>
        </w:tabs>
        <w:spacing w:before="72"/>
        <w:ind w:left="2089"/>
        <w:jc w:val="left"/>
      </w:pPr>
      <w:r>
        <w:rPr/>
        <w:br w:type="column"/>
      </w:r>
      <w:r>
        <w:rPr/>
        <w:t>11</w:t>
        <w:tab/>
        <w:t>5.07</w:t>
      </w:r>
    </w:p>
    <w:p>
      <w:pPr>
        <w:spacing w:after="0"/>
        <w:jc w:val="left"/>
        <w:sectPr>
          <w:pgSz w:w="11910" w:h="16840"/>
          <w:pgMar w:header="0" w:footer="998" w:top="1320" w:bottom="1180" w:left="1180" w:right="1300"/>
          <w:cols w:num="2" w:equalWidth="0">
            <w:col w:w="3954" w:space="40"/>
            <w:col w:w="5436"/>
          </w:cols>
        </w:sectPr>
      </w:pPr>
    </w:p>
    <w:p>
      <w:pPr>
        <w:pStyle w:val="BodyText"/>
        <w:tabs>
          <w:tab w:pos="6082" w:val="left" w:leader="none"/>
          <w:tab w:pos="7986" w:val="right" w:leader="none"/>
        </w:tabs>
        <w:ind w:left="2573"/>
        <w:jc w:val="left"/>
      </w:pPr>
      <w:r>
        <w:rPr/>
        <w:t>Above</w:t>
      </w:r>
      <w:r>
        <w:rPr>
          <w:spacing w:val="-2"/>
        </w:rPr>
        <w:t> </w:t>
      </w:r>
      <w:r>
        <w:rPr/>
        <w:t>Rp10.000.000</w:t>
        <w:tab/>
        <w:t>17</w:t>
        <w:tab/>
        <w:t>7.83</w:t>
      </w:r>
    </w:p>
    <w:p>
      <w:pPr>
        <w:pStyle w:val="BodyText"/>
        <w:tabs>
          <w:tab w:pos="8586" w:val="left" w:leader="none"/>
        </w:tabs>
        <w:spacing w:before="276"/>
        <w:ind w:left="116"/>
        <w:jc w:val="left"/>
      </w:pPr>
      <w:r>
        <w:rPr>
          <w:u w:val="single"/>
        </w:rPr>
        <w:t>  </w:t>
      </w:r>
      <w:r>
        <w:rPr>
          <w:u w:val="single"/>
        </w:rPr>
        <w:t>Notes</w:t>
      </w:r>
      <w:r>
        <w:rPr>
          <w:spacing w:val="2"/>
          <w:u w:val="single"/>
        </w:rPr>
        <w:t> </w:t>
      </w:r>
      <w:r>
        <w:rPr>
          <w:u w:val="single"/>
        </w:rPr>
        <w:t>:</w:t>
      </w:r>
      <w:r>
        <w:rPr>
          <w:spacing w:val="-7"/>
          <w:u w:val="single"/>
        </w:rPr>
        <w:t> </w:t>
      </w:r>
      <w:r>
        <w:rPr>
          <w:u w:val="single"/>
        </w:rPr>
        <w:t>n = 218, 1 US$ = Rp</w:t>
      </w:r>
      <w:r>
        <w:rPr>
          <w:spacing w:val="2"/>
          <w:u w:val="single"/>
        </w:rPr>
        <w:t> </w:t>
      </w:r>
      <w:r>
        <w:rPr>
          <w:u w:val="single"/>
        </w:rPr>
        <w:t>14.320 (currency</w:t>
      </w:r>
      <w:r>
        <w:rPr>
          <w:spacing w:val="-8"/>
          <w:u w:val="single"/>
        </w:rPr>
        <w:t> </w:t>
      </w:r>
      <w:r>
        <w:rPr>
          <w:u w:val="single"/>
        </w:rPr>
        <w:t>exchanger March 10, 2022)</w:t>
        <w:tab/>
      </w:r>
    </w:p>
    <w:p>
      <w:pPr>
        <w:pStyle w:val="BodyText"/>
        <w:spacing w:before="5"/>
        <w:ind w:left="0"/>
        <w:jc w:val="left"/>
        <w:rPr>
          <w:sz w:val="25"/>
        </w:rPr>
      </w:pPr>
    </w:p>
    <w:p>
      <w:pPr>
        <w:pStyle w:val="Heading1"/>
      </w:pPr>
      <w:r>
        <w:rPr/>
        <w:t>Measurement</w:t>
      </w:r>
      <w:r>
        <w:rPr>
          <w:spacing w:val="-4"/>
        </w:rPr>
        <w:t> </w:t>
      </w:r>
      <w:r>
        <w:rPr/>
        <w:t>model</w:t>
      </w:r>
    </w:p>
    <w:p>
      <w:pPr>
        <w:pStyle w:val="BodyText"/>
        <w:ind w:right="113" w:firstLine="719"/>
      </w:pPr>
      <w:r>
        <w:rPr/>
        <w:t>Confirmatory analyses of the data related to each variable were performed using the</w:t>
      </w:r>
      <w:r>
        <w:rPr>
          <w:spacing w:val="1"/>
        </w:rPr>
        <w:t> </w:t>
      </w:r>
      <w:r>
        <w:rPr/>
        <w:t>partial least square structural equation model (PLS–SEM) to determine the reliability and</w:t>
      </w:r>
      <w:r>
        <w:rPr>
          <w:spacing w:val="1"/>
        </w:rPr>
        <w:t> </w:t>
      </w:r>
      <w:r>
        <w:rPr/>
        <w:t>validity of the data. More specifically, the writer opted to apply the Partial Least Squares</w:t>
      </w:r>
      <w:r>
        <w:rPr>
          <w:spacing w:val="1"/>
        </w:rPr>
        <w:t> </w:t>
      </w:r>
      <w:r>
        <w:rPr/>
        <w:t>(PLS)</w:t>
      </w:r>
      <w:r>
        <w:rPr>
          <w:spacing w:val="1"/>
        </w:rPr>
        <w:t> </w:t>
      </w:r>
      <w:r>
        <w:rPr/>
        <w:t>SME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SmartPLS</w:t>
      </w:r>
      <w:r>
        <w:rPr>
          <w:spacing w:val="1"/>
        </w:rPr>
        <w:t> </w:t>
      </w:r>
      <w:r>
        <w:rPr/>
        <w:t>v3.2.9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(Ringle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reliability measures the extent of internal consistency of measures used, and it is assessed</w:t>
      </w:r>
      <w:r>
        <w:rPr>
          <w:spacing w:val="1"/>
        </w:rPr>
        <w:t> </w:t>
      </w:r>
      <w:r>
        <w:rPr/>
        <w:t>through the item factor loadings with acceptable value of 0.70. From Table II, all of the</w:t>
      </w:r>
      <w:r>
        <w:rPr>
          <w:spacing w:val="1"/>
        </w:rPr>
        <w:t> </w:t>
      </w:r>
      <w:r>
        <w:rPr/>
        <w:t>constructs</w:t>
      </w:r>
      <w:r>
        <w:rPr>
          <w:spacing w:val="-3"/>
        </w:rPr>
        <w:t> </w:t>
      </w:r>
      <w:r>
        <w:rPr/>
        <w:t>have</w:t>
      </w:r>
      <w:r>
        <w:rPr>
          <w:spacing w:val="1"/>
        </w:rPr>
        <w:t> </w:t>
      </w:r>
      <w:r>
        <w:rPr/>
        <w:t>item</w:t>
      </w:r>
      <w:r>
        <w:rPr>
          <w:spacing w:val="-1"/>
        </w:rPr>
        <w:t> </w:t>
      </w:r>
      <w:r>
        <w:rPr/>
        <w:t>loadings</w:t>
      </w:r>
      <w:r>
        <w:rPr>
          <w:spacing w:val="-2"/>
        </w:rPr>
        <w:t> </w:t>
      </w:r>
      <w:r>
        <w:rPr/>
        <w:t>higher</w:t>
      </w:r>
      <w:r>
        <w:rPr>
          <w:spacing w:val="-1"/>
        </w:rPr>
        <w:t> </w:t>
      </w:r>
      <w:r>
        <w:rPr/>
        <w:t>than the recommended 0.70.</w:t>
      </w:r>
    </w:p>
    <w:p>
      <w:pPr>
        <w:pStyle w:val="BodyText"/>
        <w:ind w:right="115" w:firstLine="719"/>
      </w:pPr>
      <w:r>
        <w:rPr/>
        <w:t>Table II and Figure 1 indicate acceptable values for both the Cronbach’s α and the</w:t>
      </w:r>
      <w:r>
        <w:rPr>
          <w:spacing w:val="1"/>
        </w:rPr>
        <w:t> </w:t>
      </w:r>
      <w:r>
        <w:rPr/>
        <w:t>composite reliability. All the variables have Cronbach’s α value higher than the acceptable 0.6</w:t>
      </w:r>
      <w:r>
        <w:rPr>
          <w:spacing w:val="-57"/>
        </w:rPr>
        <w:t> </w:t>
      </w:r>
      <w:r>
        <w:rPr/>
        <w:t>(Hair et al., 2014). Similarly, the requirements for the composite reliability of 0.70 of all the</w:t>
      </w:r>
      <w:r>
        <w:rPr>
          <w:spacing w:val="1"/>
        </w:rPr>
        <w:t> </w:t>
      </w:r>
      <w:r>
        <w:rPr/>
        <w:t>variables have been established. The table also reveals that the value of the average variance</w:t>
      </w:r>
      <w:r>
        <w:rPr>
          <w:spacing w:val="1"/>
        </w:rPr>
        <w:t> </w:t>
      </w:r>
      <w:r>
        <w:rPr/>
        <w:t>extracted from each variable is greater than the acceptable threshold 0.50 for convergent</w:t>
      </w:r>
      <w:r>
        <w:rPr>
          <w:spacing w:val="1"/>
        </w:rPr>
        <w:t> </w:t>
      </w:r>
      <w:r>
        <w:rPr/>
        <w:t>validity (Hair et al., 2014). The estimated model gave an acceptable fit to the data (SRMR =</w:t>
      </w:r>
      <w:r>
        <w:rPr>
          <w:spacing w:val="1"/>
        </w:rPr>
        <w:t> </w:t>
      </w:r>
      <w:r>
        <w:rPr/>
        <w:t>0.067; NFI = 0.797), indicating that the hypothesized model fits the empirical data well.</w:t>
      </w:r>
      <w:r>
        <w:rPr>
          <w:spacing w:val="1"/>
        </w:rPr>
        <w:t> </w:t>
      </w:r>
      <w:r>
        <w:rPr/>
        <w:t>Accordingly, to ensure that each variable represents distinct phenomenon, (Fornell &amp; Larcker,</w:t>
      </w:r>
      <w:r>
        <w:rPr>
          <w:spacing w:val="-57"/>
        </w:rPr>
        <w:t> </w:t>
      </w:r>
      <w:r>
        <w:rPr/>
        <w:t>1981) criterion is used to evaluate the discriminant validity of the variables under study. As</w:t>
      </w:r>
      <w:r>
        <w:rPr>
          <w:spacing w:val="1"/>
        </w:rPr>
        <w:t> </w:t>
      </w:r>
      <w:r>
        <w:rPr/>
        <w:t>shown in Table III, the value of each pair of the construct is greater than the value of the</w:t>
      </w:r>
      <w:r>
        <w:rPr>
          <w:spacing w:val="1"/>
        </w:rPr>
        <w:t> </w:t>
      </w:r>
      <w:r>
        <w:rPr/>
        <w:t>square</w:t>
      </w:r>
      <w:r>
        <w:rPr>
          <w:spacing w:val="33"/>
        </w:rPr>
        <w:t> </w:t>
      </w:r>
      <w:r>
        <w:rPr/>
        <w:t>correlations</w:t>
      </w:r>
      <w:r>
        <w:rPr>
          <w:spacing w:val="31"/>
        </w:rPr>
        <w:t> </w:t>
      </w:r>
      <w:r>
        <w:rPr/>
        <w:t>between</w:t>
      </w:r>
      <w:r>
        <w:rPr>
          <w:spacing w:val="29"/>
        </w:rPr>
        <w:t> </w:t>
      </w:r>
      <w:r>
        <w:rPr/>
        <w:t>the</w:t>
      </w:r>
      <w:r>
        <w:rPr>
          <w:spacing w:val="33"/>
        </w:rPr>
        <w:t> </w:t>
      </w:r>
      <w:r>
        <w:rPr/>
        <w:t>pairs</w:t>
      </w:r>
      <w:r>
        <w:rPr>
          <w:spacing w:val="32"/>
        </w:rPr>
        <w:t> </w:t>
      </w:r>
      <w:r>
        <w:rPr/>
        <w:t>of</w:t>
      </w:r>
      <w:r>
        <w:rPr>
          <w:spacing w:val="28"/>
        </w:rPr>
        <w:t> </w:t>
      </w:r>
      <w:r>
        <w:rPr/>
        <w:t>constructs;</w:t>
      </w:r>
      <w:r>
        <w:rPr>
          <w:spacing w:val="33"/>
        </w:rPr>
        <w:t> </w:t>
      </w:r>
      <w:r>
        <w:rPr/>
        <w:t>consequently,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discriminant</w:t>
      </w:r>
      <w:r>
        <w:rPr>
          <w:spacing w:val="34"/>
        </w:rPr>
        <w:t> </w:t>
      </w:r>
      <w:r>
        <w:rPr/>
        <w:t>validity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convergent validity</w:t>
      </w:r>
      <w:r>
        <w:rPr>
          <w:spacing w:val="-5"/>
        </w:rPr>
        <w:t> </w:t>
      </w:r>
      <w:r>
        <w:rPr/>
        <w:t>were</w:t>
      </w:r>
      <w:r>
        <w:rPr>
          <w:spacing w:val="1"/>
        </w:rPr>
        <w:t> </w:t>
      </w:r>
      <w:r>
        <w:rPr/>
        <w:t>established.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BodyText"/>
        <w:jc w:val="left"/>
      </w:pPr>
      <w:r>
        <w:rPr/>
        <w:t>Table</w:t>
      </w:r>
      <w:r>
        <w:rPr>
          <w:spacing w:val="-2"/>
        </w:rPr>
        <w:t> </w:t>
      </w:r>
      <w:r>
        <w:rPr/>
        <w:t>II.</w:t>
      </w:r>
      <w:r>
        <w:rPr>
          <w:spacing w:val="-1"/>
        </w:rPr>
        <w:t> </w:t>
      </w:r>
      <w:r>
        <w:rPr/>
        <w:t>Item Loading,</w:t>
      </w:r>
      <w:r>
        <w:rPr>
          <w:spacing w:val="-3"/>
        </w:rPr>
        <w:t> </w:t>
      </w:r>
      <w:r>
        <w:rPr/>
        <w:t>Construct</w:t>
      </w:r>
      <w:r>
        <w:rPr>
          <w:spacing w:val="-4"/>
        </w:rPr>
        <w:t> </w:t>
      </w:r>
      <w:r>
        <w:rPr/>
        <w:t>Reliability</w:t>
      </w:r>
      <w:r>
        <w:rPr>
          <w:spacing w:val="-11"/>
        </w:rPr>
        <w:t> </w:t>
      </w:r>
      <w:r>
        <w:rPr/>
        <w:t>and</w:t>
      </w:r>
      <w:r>
        <w:rPr>
          <w:spacing w:val="-3"/>
        </w:rPr>
        <w:t> </w:t>
      </w:r>
      <w:r>
        <w:rPr/>
        <w:t>Discriminant</w:t>
      </w:r>
      <w:r>
        <w:rPr>
          <w:spacing w:val="-4"/>
        </w:rPr>
        <w:t> </w:t>
      </w:r>
      <w:r>
        <w:rPr/>
        <w:t>Validity</w:t>
      </w:r>
    </w:p>
    <w:p>
      <w:pPr>
        <w:pStyle w:val="BodyText"/>
        <w:spacing w:before="6"/>
        <w:ind w:left="0"/>
        <w:jc w:val="left"/>
        <w:rPr>
          <w:sz w:val="28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5"/>
        <w:gridCol w:w="1496"/>
        <w:gridCol w:w="1545"/>
        <w:gridCol w:w="1501"/>
        <w:gridCol w:w="1501"/>
      </w:tblGrid>
      <w:tr>
        <w:trPr>
          <w:trHeight w:val="550" w:hRule="atLeast"/>
        </w:trPr>
        <w:tc>
          <w:tcPr>
            <w:tcW w:w="20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266" w:right="411"/>
              <w:jc w:val="center"/>
              <w:rPr>
                <w:sz w:val="24"/>
              </w:rPr>
            </w:pPr>
            <w:r>
              <w:rPr>
                <w:sz w:val="24"/>
              </w:rPr>
              <w:t>Measurement</w:t>
            </w:r>
          </w:p>
          <w:p>
            <w:pPr>
              <w:pStyle w:val="TableParagraph"/>
              <w:spacing w:line="263" w:lineRule="exact"/>
              <w:ind w:left="266" w:right="404"/>
              <w:jc w:val="center"/>
              <w:rPr>
                <w:sz w:val="24"/>
              </w:rPr>
            </w:pPr>
            <w:r>
              <w:rPr>
                <w:sz w:val="24"/>
              </w:rPr>
              <w:t>Items</w:t>
            </w:r>
          </w:p>
        </w:tc>
        <w:tc>
          <w:tcPr>
            <w:tcW w:w="14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412" w:right="501"/>
              <w:jc w:val="center"/>
              <w:rPr>
                <w:sz w:val="24"/>
              </w:rPr>
            </w:pPr>
            <w:r>
              <w:rPr>
                <w:sz w:val="24"/>
              </w:rPr>
              <w:t>FL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503" w:right="459"/>
              <w:jc w:val="center"/>
              <w:rPr>
                <w:sz w:val="24"/>
              </w:rPr>
            </w:pPr>
            <w:r>
              <w:rPr>
                <w:sz w:val="24"/>
              </w:rPr>
              <w:t>CA</w:t>
            </w:r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456" w:right="460"/>
              <w:jc w:val="center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457" w:right="460"/>
              <w:jc w:val="center"/>
              <w:rPr>
                <w:sz w:val="24"/>
              </w:rPr>
            </w:pPr>
            <w:r>
              <w:rPr>
                <w:sz w:val="24"/>
              </w:rPr>
              <w:t>AVE</w:t>
            </w:r>
          </w:p>
        </w:tc>
      </w:tr>
      <w:tr>
        <w:trPr>
          <w:trHeight w:val="276" w:hRule="atLeast"/>
        </w:trPr>
        <w:tc>
          <w:tcPr>
            <w:tcW w:w="20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BE2</w:t>
            </w:r>
          </w:p>
        </w:tc>
        <w:tc>
          <w:tcPr>
            <w:tcW w:w="14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412" w:right="504"/>
              <w:jc w:val="center"/>
              <w:rPr>
                <w:sz w:val="24"/>
              </w:rPr>
            </w:pPr>
            <w:r>
              <w:rPr>
                <w:sz w:val="24"/>
              </w:rPr>
              <w:t>0.779</w:t>
            </w:r>
          </w:p>
        </w:tc>
        <w:tc>
          <w:tcPr>
            <w:tcW w:w="15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503" w:right="461"/>
              <w:jc w:val="center"/>
              <w:rPr>
                <w:sz w:val="24"/>
              </w:rPr>
            </w:pPr>
            <w:r>
              <w:rPr>
                <w:sz w:val="24"/>
              </w:rPr>
              <w:t>0.637</w:t>
            </w:r>
          </w:p>
        </w:tc>
        <w:tc>
          <w:tcPr>
            <w:tcW w:w="15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459" w:right="460"/>
              <w:jc w:val="center"/>
              <w:rPr>
                <w:sz w:val="24"/>
              </w:rPr>
            </w:pPr>
            <w:r>
              <w:rPr>
                <w:sz w:val="24"/>
              </w:rPr>
              <w:t>0.805</w:t>
            </w:r>
          </w:p>
        </w:tc>
        <w:tc>
          <w:tcPr>
            <w:tcW w:w="15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460" w:right="460"/>
              <w:jc w:val="center"/>
              <w:rPr>
                <w:sz w:val="24"/>
              </w:rPr>
            </w:pPr>
            <w:r>
              <w:rPr>
                <w:sz w:val="24"/>
              </w:rPr>
              <w:t>0.579</w:t>
            </w:r>
          </w:p>
        </w:tc>
      </w:tr>
      <w:tr>
        <w:trPr>
          <w:trHeight w:val="275" w:hRule="atLeast"/>
        </w:trPr>
        <w:tc>
          <w:tcPr>
            <w:tcW w:w="202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BE3</w:t>
            </w:r>
          </w:p>
        </w:tc>
        <w:tc>
          <w:tcPr>
            <w:tcW w:w="1496" w:type="dxa"/>
          </w:tcPr>
          <w:p>
            <w:pPr>
              <w:pStyle w:val="TableParagraph"/>
              <w:ind w:left="412" w:right="504"/>
              <w:jc w:val="center"/>
              <w:rPr>
                <w:sz w:val="24"/>
              </w:rPr>
            </w:pPr>
            <w:r>
              <w:rPr>
                <w:sz w:val="24"/>
              </w:rPr>
              <w:t>0.749</w:t>
            </w:r>
          </w:p>
        </w:tc>
        <w:tc>
          <w:tcPr>
            <w:tcW w:w="154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025" w:type="dxa"/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BE4</w:t>
            </w:r>
          </w:p>
        </w:tc>
        <w:tc>
          <w:tcPr>
            <w:tcW w:w="1496" w:type="dxa"/>
          </w:tcPr>
          <w:p>
            <w:pPr>
              <w:pStyle w:val="TableParagraph"/>
              <w:spacing w:line="254" w:lineRule="exact"/>
              <w:ind w:left="412" w:right="504"/>
              <w:jc w:val="center"/>
              <w:rPr>
                <w:sz w:val="24"/>
              </w:rPr>
            </w:pPr>
            <w:r>
              <w:rPr>
                <w:sz w:val="24"/>
              </w:rPr>
              <w:t>0.755</w:t>
            </w:r>
          </w:p>
        </w:tc>
        <w:tc>
          <w:tcPr>
            <w:tcW w:w="154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2025" w:type="dxa"/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BC1</w:t>
            </w:r>
          </w:p>
        </w:tc>
        <w:tc>
          <w:tcPr>
            <w:tcW w:w="1496" w:type="dxa"/>
          </w:tcPr>
          <w:p>
            <w:pPr>
              <w:pStyle w:val="TableParagraph"/>
              <w:spacing w:line="254" w:lineRule="exact"/>
              <w:ind w:left="412" w:right="504"/>
              <w:jc w:val="center"/>
              <w:rPr>
                <w:sz w:val="24"/>
              </w:rPr>
            </w:pPr>
            <w:r>
              <w:rPr>
                <w:sz w:val="24"/>
              </w:rPr>
              <w:t>0.814</w:t>
            </w:r>
          </w:p>
        </w:tc>
        <w:tc>
          <w:tcPr>
            <w:tcW w:w="1545" w:type="dxa"/>
          </w:tcPr>
          <w:p>
            <w:pPr>
              <w:pStyle w:val="TableParagraph"/>
              <w:spacing w:line="254" w:lineRule="exact"/>
              <w:ind w:left="503" w:right="461"/>
              <w:jc w:val="center"/>
              <w:rPr>
                <w:sz w:val="24"/>
              </w:rPr>
            </w:pPr>
            <w:r>
              <w:rPr>
                <w:sz w:val="24"/>
              </w:rPr>
              <w:t>0.847</w:t>
            </w:r>
          </w:p>
        </w:tc>
        <w:tc>
          <w:tcPr>
            <w:tcW w:w="1501" w:type="dxa"/>
          </w:tcPr>
          <w:p>
            <w:pPr>
              <w:pStyle w:val="TableParagraph"/>
              <w:spacing w:line="254" w:lineRule="exact"/>
              <w:ind w:left="459" w:right="460"/>
              <w:jc w:val="center"/>
              <w:rPr>
                <w:sz w:val="24"/>
              </w:rPr>
            </w:pPr>
            <w:r>
              <w:rPr>
                <w:sz w:val="24"/>
              </w:rPr>
              <w:t>0.897</w:t>
            </w:r>
          </w:p>
        </w:tc>
        <w:tc>
          <w:tcPr>
            <w:tcW w:w="1501" w:type="dxa"/>
          </w:tcPr>
          <w:p>
            <w:pPr>
              <w:pStyle w:val="TableParagraph"/>
              <w:spacing w:line="254" w:lineRule="exact"/>
              <w:ind w:left="460" w:right="460"/>
              <w:jc w:val="center"/>
              <w:rPr>
                <w:sz w:val="24"/>
              </w:rPr>
            </w:pPr>
            <w:r>
              <w:rPr>
                <w:sz w:val="24"/>
              </w:rPr>
              <w:t>0.686</w:t>
            </w:r>
          </w:p>
        </w:tc>
      </w:tr>
      <w:tr>
        <w:trPr>
          <w:trHeight w:val="275" w:hRule="atLeast"/>
        </w:trPr>
        <w:tc>
          <w:tcPr>
            <w:tcW w:w="202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BC2</w:t>
            </w:r>
          </w:p>
        </w:tc>
        <w:tc>
          <w:tcPr>
            <w:tcW w:w="1496" w:type="dxa"/>
          </w:tcPr>
          <w:p>
            <w:pPr>
              <w:pStyle w:val="TableParagraph"/>
              <w:ind w:left="412" w:right="504"/>
              <w:jc w:val="center"/>
              <w:rPr>
                <w:sz w:val="24"/>
              </w:rPr>
            </w:pPr>
            <w:r>
              <w:rPr>
                <w:sz w:val="24"/>
              </w:rPr>
              <w:t>0.810</w:t>
            </w:r>
          </w:p>
        </w:tc>
        <w:tc>
          <w:tcPr>
            <w:tcW w:w="154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02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BC3</w:t>
            </w:r>
          </w:p>
        </w:tc>
        <w:tc>
          <w:tcPr>
            <w:tcW w:w="1496" w:type="dxa"/>
          </w:tcPr>
          <w:p>
            <w:pPr>
              <w:pStyle w:val="TableParagraph"/>
              <w:ind w:left="412" w:right="504"/>
              <w:jc w:val="center"/>
              <w:rPr>
                <w:sz w:val="24"/>
              </w:rPr>
            </w:pPr>
            <w:r>
              <w:rPr>
                <w:sz w:val="24"/>
              </w:rPr>
              <w:t>0.848</w:t>
            </w:r>
          </w:p>
        </w:tc>
        <w:tc>
          <w:tcPr>
            <w:tcW w:w="154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02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BC4</w:t>
            </w:r>
          </w:p>
        </w:tc>
        <w:tc>
          <w:tcPr>
            <w:tcW w:w="1496" w:type="dxa"/>
          </w:tcPr>
          <w:p>
            <w:pPr>
              <w:pStyle w:val="TableParagraph"/>
              <w:ind w:left="412" w:right="504"/>
              <w:jc w:val="center"/>
              <w:rPr>
                <w:sz w:val="24"/>
              </w:rPr>
            </w:pPr>
            <w:r>
              <w:rPr>
                <w:sz w:val="24"/>
              </w:rPr>
              <w:t>0.840</w:t>
            </w:r>
          </w:p>
        </w:tc>
        <w:tc>
          <w:tcPr>
            <w:tcW w:w="154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02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BT1</w:t>
            </w:r>
          </w:p>
        </w:tc>
        <w:tc>
          <w:tcPr>
            <w:tcW w:w="1496" w:type="dxa"/>
          </w:tcPr>
          <w:p>
            <w:pPr>
              <w:pStyle w:val="TableParagraph"/>
              <w:ind w:left="412" w:right="504"/>
              <w:jc w:val="center"/>
              <w:rPr>
                <w:sz w:val="24"/>
              </w:rPr>
            </w:pPr>
            <w:r>
              <w:rPr>
                <w:sz w:val="24"/>
              </w:rPr>
              <w:t>0.864</w:t>
            </w:r>
          </w:p>
        </w:tc>
        <w:tc>
          <w:tcPr>
            <w:tcW w:w="1545" w:type="dxa"/>
          </w:tcPr>
          <w:p>
            <w:pPr>
              <w:pStyle w:val="TableParagraph"/>
              <w:ind w:left="503" w:right="461"/>
              <w:jc w:val="center"/>
              <w:rPr>
                <w:sz w:val="24"/>
              </w:rPr>
            </w:pPr>
            <w:r>
              <w:rPr>
                <w:sz w:val="24"/>
              </w:rPr>
              <w:t>0.866</w:t>
            </w:r>
          </w:p>
        </w:tc>
        <w:tc>
          <w:tcPr>
            <w:tcW w:w="1501" w:type="dxa"/>
          </w:tcPr>
          <w:p>
            <w:pPr>
              <w:pStyle w:val="TableParagraph"/>
              <w:ind w:left="459" w:right="460"/>
              <w:jc w:val="center"/>
              <w:rPr>
                <w:sz w:val="24"/>
              </w:rPr>
            </w:pPr>
            <w:r>
              <w:rPr>
                <w:sz w:val="24"/>
              </w:rPr>
              <w:t>0.909</w:t>
            </w:r>
          </w:p>
        </w:tc>
        <w:tc>
          <w:tcPr>
            <w:tcW w:w="1501" w:type="dxa"/>
          </w:tcPr>
          <w:p>
            <w:pPr>
              <w:pStyle w:val="TableParagraph"/>
              <w:ind w:left="460" w:right="460"/>
              <w:jc w:val="center"/>
              <w:rPr>
                <w:sz w:val="24"/>
              </w:rPr>
            </w:pPr>
            <w:r>
              <w:rPr>
                <w:sz w:val="24"/>
              </w:rPr>
              <w:t>0.713</w:t>
            </w:r>
          </w:p>
        </w:tc>
      </w:tr>
      <w:tr>
        <w:trPr>
          <w:trHeight w:val="276" w:hRule="atLeast"/>
        </w:trPr>
        <w:tc>
          <w:tcPr>
            <w:tcW w:w="202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BT2</w:t>
            </w:r>
          </w:p>
        </w:tc>
        <w:tc>
          <w:tcPr>
            <w:tcW w:w="1496" w:type="dxa"/>
          </w:tcPr>
          <w:p>
            <w:pPr>
              <w:pStyle w:val="TableParagraph"/>
              <w:ind w:left="412" w:right="504"/>
              <w:jc w:val="center"/>
              <w:rPr>
                <w:sz w:val="24"/>
              </w:rPr>
            </w:pPr>
            <w:r>
              <w:rPr>
                <w:sz w:val="24"/>
              </w:rPr>
              <w:t>0.830</w:t>
            </w:r>
          </w:p>
        </w:tc>
        <w:tc>
          <w:tcPr>
            <w:tcW w:w="154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02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BT3</w:t>
            </w:r>
          </w:p>
        </w:tc>
        <w:tc>
          <w:tcPr>
            <w:tcW w:w="1496" w:type="dxa"/>
          </w:tcPr>
          <w:p>
            <w:pPr>
              <w:pStyle w:val="TableParagraph"/>
              <w:ind w:left="412" w:right="504"/>
              <w:jc w:val="center"/>
              <w:rPr>
                <w:sz w:val="24"/>
              </w:rPr>
            </w:pPr>
            <w:r>
              <w:rPr>
                <w:sz w:val="24"/>
              </w:rPr>
              <w:t>0.853</w:t>
            </w:r>
          </w:p>
        </w:tc>
        <w:tc>
          <w:tcPr>
            <w:tcW w:w="154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02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BT4</w:t>
            </w:r>
          </w:p>
        </w:tc>
        <w:tc>
          <w:tcPr>
            <w:tcW w:w="1496" w:type="dxa"/>
          </w:tcPr>
          <w:p>
            <w:pPr>
              <w:pStyle w:val="TableParagraph"/>
              <w:ind w:left="412" w:right="504"/>
              <w:jc w:val="center"/>
              <w:rPr>
                <w:sz w:val="24"/>
              </w:rPr>
            </w:pPr>
            <w:r>
              <w:rPr>
                <w:sz w:val="24"/>
              </w:rPr>
              <w:t>0.831</w:t>
            </w:r>
          </w:p>
        </w:tc>
        <w:tc>
          <w:tcPr>
            <w:tcW w:w="154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02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BL1</w:t>
            </w:r>
          </w:p>
        </w:tc>
        <w:tc>
          <w:tcPr>
            <w:tcW w:w="1496" w:type="dxa"/>
          </w:tcPr>
          <w:p>
            <w:pPr>
              <w:pStyle w:val="TableParagraph"/>
              <w:ind w:left="412" w:right="504"/>
              <w:jc w:val="center"/>
              <w:rPr>
                <w:sz w:val="24"/>
              </w:rPr>
            </w:pPr>
            <w:r>
              <w:rPr>
                <w:sz w:val="24"/>
              </w:rPr>
              <w:t>0.886</w:t>
            </w:r>
          </w:p>
        </w:tc>
        <w:tc>
          <w:tcPr>
            <w:tcW w:w="1545" w:type="dxa"/>
          </w:tcPr>
          <w:p>
            <w:pPr>
              <w:pStyle w:val="TableParagraph"/>
              <w:ind w:left="503" w:right="461"/>
              <w:jc w:val="center"/>
              <w:rPr>
                <w:sz w:val="24"/>
              </w:rPr>
            </w:pPr>
            <w:r>
              <w:rPr>
                <w:sz w:val="24"/>
              </w:rPr>
              <w:t>0.899</w:t>
            </w:r>
          </w:p>
        </w:tc>
        <w:tc>
          <w:tcPr>
            <w:tcW w:w="1501" w:type="dxa"/>
          </w:tcPr>
          <w:p>
            <w:pPr>
              <w:pStyle w:val="TableParagraph"/>
              <w:ind w:left="459" w:right="460"/>
              <w:jc w:val="center"/>
              <w:rPr>
                <w:sz w:val="24"/>
              </w:rPr>
            </w:pPr>
            <w:r>
              <w:rPr>
                <w:sz w:val="24"/>
              </w:rPr>
              <w:t>0.930</w:t>
            </w:r>
          </w:p>
        </w:tc>
        <w:tc>
          <w:tcPr>
            <w:tcW w:w="1501" w:type="dxa"/>
          </w:tcPr>
          <w:p>
            <w:pPr>
              <w:pStyle w:val="TableParagraph"/>
              <w:ind w:left="460" w:right="460"/>
              <w:jc w:val="center"/>
              <w:rPr>
                <w:sz w:val="24"/>
              </w:rPr>
            </w:pPr>
            <w:r>
              <w:rPr>
                <w:sz w:val="24"/>
              </w:rPr>
              <w:t>0.768</w:t>
            </w:r>
          </w:p>
        </w:tc>
      </w:tr>
      <w:tr>
        <w:trPr>
          <w:trHeight w:val="275" w:hRule="atLeast"/>
        </w:trPr>
        <w:tc>
          <w:tcPr>
            <w:tcW w:w="202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BL2</w:t>
            </w:r>
          </w:p>
        </w:tc>
        <w:tc>
          <w:tcPr>
            <w:tcW w:w="1496" w:type="dxa"/>
          </w:tcPr>
          <w:p>
            <w:pPr>
              <w:pStyle w:val="TableParagraph"/>
              <w:ind w:left="412" w:right="504"/>
              <w:jc w:val="center"/>
              <w:rPr>
                <w:sz w:val="24"/>
              </w:rPr>
            </w:pPr>
            <w:r>
              <w:rPr>
                <w:sz w:val="24"/>
              </w:rPr>
              <w:t>0.876</w:t>
            </w:r>
          </w:p>
        </w:tc>
        <w:tc>
          <w:tcPr>
            <w:tcW w:w="154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02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BL3</w:t>
            </w:r>
          </w:p>
        </w:tc>
        <w:tc>
          <w:tcPr>
            <w:tcW w:w="1496" w:type="dxa"/>
          </w:tcPr>
          <w:p>
            <w:pPr>
              <w:pStyle w:val="TableParagraph"/>
              <w:ind w:left="412" w:right="504"/>
              <w:jc w:val="center"/>
              <w:rPr>
                <w:sz w:val="24"/>
              </w:rPr>
            </w:pPr>
            <w:r>
              <w:rPr>
                <w:sz w:val="24"/>
              </w:rPr>
              <w:t>0.857</w:t>
            </w:r>
          </w:p>
        </w:tc>
        <w:tc>
          <w:tcPr>
            <w:tcW w:w="154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025" w:type="dxa"/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BL4</w:t>
            </w:r>
          </w:p>
        </w:tc>
        <w:tc>
          <w:tcPr>
            <w:tcW w:w="1496" w:type="dxa"/>
          </w:tcPr>
          <w:p>
            <w:pPr>
              <w:pStyle w:val="TableParagraph"/>
              <w:spacing w:line="251" w:lineRule="exact"/>
              <w:ind w:left="412" w:right="504"/>
              <w:jc w:val="center"/>
              <w:rPr>
                <w:sz w:val="24"/>
              </w:rPr>
            </w:pPr>
            <w:r>
              <w:rPr>
                <w:sz w:val="24"/>
              </w:rPr>
              <w:t>0.886</w:t>
            </w:r>
          </w:p>
        </w:tc>
        <w:tc>
          <w:tcPr>
            <w:tcW w:w="154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>
      <w:pPr>
        <w:pStyle w:val="BodyText"/>
        <w:ind w:right="810"/>
        <w:jc w:val="left"/>
      </w:pPr>
      <w:r>
        <w:rPr/>
        <w:t>Notes:</w:t>
      </w:r>
      <w:r>
        <w:rPr>
          <w:spacing w:val="26"/>
        </w:rPr>
        <w:t> </w:t>
      </w:r>
      <w:r>
        <w:rPr/>
        <w:t>BE,</w:t>
      </w:r>
      <w:r>
        <w:rPr>
          <w:spacing w:val="32"/>
        </w:rPr>
        <w:t> </w:t>
      </w:r>
      <w:r>
        <w:rPr/>
        <w:t>Brand</w:t>
      </w:r>
      <w:r>
        <w:rPr>
          <w:spacing w:val="29"/>
        </w:rPr>
        <w:t> </w:t>
      </w:r>
      <w:r>
        <w:rPr/>
        <w:t>Experience;</w:t>
      </w:r>
      <w:r>
        <w:rPr>
          <w:spacing w:val="34"/>
        </w:rPr>
        <w:t> </w:t>
      </w:r>
      <w:r>
        <w:rPr/>
        <w:t>BC,</w:t>
      </w:r>
      <w:r>
        <w:rPr>
          <w:spacing w:val="33"/>
        </w:rPr>
        <w:t> </w:t>
      </w:r>
      <w:r>
        <w:rPr/>
        <w:t>Brand</w:t>
      </w:r>
      <w:r>
        <w:rPr>
          <w:spacing w:val="29"/>
        </w:rPr>
        <w:t> </w:t>
      </w:r>
      <w:r>
        <w:rPr/>
        <w:t>Commitment;</w:t>
      </w:r>
      <w:r>
        <w:rPr>
          <w:spacing w:val="29"/>
        </w:rPr>
        <w:t> </w:t>
      </w:r>
      <w:r>
        <w:rPr/>
        <w:t>BT,</w:t>
      </w:r>
      <w:r>
        <w:rPr>
          <w:spacing w:val="29"/>
        </w:rPr>
        <w:t> </w:t>
      </w:r>
      <w:r>
        <w:rPr/>
        <w:t>Brand</w:t>
      </w:r>
      <w:r>
        <w:rPr>
          <w:spacing w:val="28"/>
        </w:rPr>
        <w:t> </w:t>
      </w:r>
      <w:r>
        <w:rPr/>
        <w:t>Trust;</w:t>
      </w:r>
      <w:r>
        <w:rPr>
          <w:spacing w:val="29"/>
        </w:rPr>
        <w:t> </w:t>
      </w:r>
      <w:r>
        <w:rPr/>
        <w:t>BL,</w:t>
      </w:r>
      <w:r>
        <w:rPr>
          <w:spacing w:val="-57"/>
        </w:rPr>
        <w:t> </w:t>
      </w:r>
      <w:r>
        <w:rPr/>
        <w:t>Brand</w:t>
      </w:r>
      <w:r>
        <w:rPr>
          <w:spacing w:val="59"/>
        </w:rPr>
        <w:t> </w:t>
      </w:r>
      <w:r>
        <w:rPr/>
        <w:t>Loyalty;</w:t>
      </w:r>
      <w:r>
        <w:rPr>
          <w:spacing w:val="60"/>
        </w:rPr>
        <w:t> </w:t>
      </w:r>
      <w:r>
        <w:rPr/>
        <w:t>FL,</w:t>
      </w:r>
      <w:r>
        <w:rPr>
          <w:spacing w:val="59"/>
        </w:rPr>
        <w:t> </w:t>
      </w:r>
      <w:r>
        <w:rPr/>
        <w:t>Item</w:t>
      </w:r>
      <w:r>
        <w:rPr>
          <w:spacing w:val="56"/>
        </w:rPr>
        <w:t> </w:t>
      </w:r>
      <w:r>
        <w:rPr/>
        <w:t>Loadings;</w:t>
      </w:r>
      <w:r>
        <w:rPr>
          <w:spacing w:val="56"/>
        </w:rPr>
        <w:t> </w:t>
      </w:r>
      <w:r>
        <w:rPr/>
        <w:t>CA,</w:t>
      </w:r>
      <w:r>
        <w:rPr>
          <w:spacing w:val="56"/>
        </w:rPr>
        <w:t> </w:t>
      </w:r>
      <w:r>
        <w:rPr/>
        <w:t>Cronbach’s</w:t>
      </w:r>
      <w:r>
        <w:rPr>
          <w:spacing w:val="50"/>
        </w:rPr>
        <w:t> </w:t>
      </w:r>
      <w:r>
        <w:rPr/>
        <w:t>α;</w:t>
      </w:r>
      <w:r>
        <w:rPr>
          <w:spacing w:val="52"/>
        </w:rPr>
        <w:t> </w:t>
      </w:r>
      <w:r>
        <w:rPr/>
        <w:t>CR,</w:t>
      </w:r>
      <w:r>
        <w:rPr>
          <w:spacing w:val="51"/>
        </w:rPr>
        <w:t> </w:t>
      </w:r>
      <w:r>
        <w:rPr/>
        <w:t>Composite</w:t>
      </w:r>
    </w:p>
    <w:p>
      <w:pPr>
        <w:pStyle w:val="BodyText"/>
        <w:tabs>
          <w:tab w:pos="8194" w:val="left" w:leader="none"/>
        </w:tabs>
        <w:ind w:left="116"/>
        <w:jc w:val="left"/>
      </w:pPr>
      <w:r>
        <w:rPr>
          <w:u w:val="single"/>
        </w:rPr>
        <w:t>  </w:t>
      </w:r>
      <w:r>
        <w:rPr>
          <w:u w:val="single"/>
        </w:rPr>
        <w:t>Reliability;</w:t>
      </w:r>
      <w:r>
        <w:rPr>
          <w:spacing w:val="-2"/>
          <w:u w:val="single"/>
        </w:rPr>
        <w:t> </w:t>
      </w:r>
      <w:r>
        <w:rPr>
          <w:u w:val="single"/>
        </w:rPr>
        <w:t>AVE,</w:t>
      </w:r>
      <w:r>
        <w:rPr>
          <w:spacing w:val="-3"/>
          <w:u w:val="single"/>
        </w:rPr>
        <w:t> </w:t>
      </w:r>
      <w:r>
        <w:rPr>
          <w:u w:val="single"/>
        </w:rPr>
        <w:t>Average</w:t>
      </w:r>
      <w:r>
        <w:rPr>
          <w:spacing w:val="-5"/>
          <w:u w:val="single"/>
        </w:rPr>
        <w:t> </w:t>
      </w:r>
      <w:r>
        <w:rPr>
          <w:u w:val="single"/>
        </w:rPr>
        <w:t>Variance</w:t>
      </w:r>
      <w:r>
        <w:rPr>
          <w:spacing w:val="-4"/>
          <w:u w:val="single"/>
        </w:rPr>
        <w:t> </w:t>
      </w:r>
      <w:r>
        <w:rPr>
          <w:u w:val="single"/>
        </w:rPr>
        <w:t>Extracted</w:t>
        <w:tab/>
      </w:r>
    </w:p>
    <w:p>
      <w:pPr>
        <w:spacing w:after="0"/>
        <w:jc w:val="left"/>
        <w:sectPr>
          <w:type w:val="continuous"/>
          <w:pgSz w:w="11910" w:h="16840"/>
          <w:pgMar w:top="1340" w:bottom="1180" w:left="1180" w:right="1300"/>
        </w:sectPr>
      </w:pPr>
    </w:p>
    <w:p>
      <w:pPr>
        <w:pStyle w:val="BodyText"/>
        <w:spacing w:before="72"/>
      </w:pPr>
      <w:r>
        <w:rPr/>
        <w:t>Figure</w:t>
      </w:r>
      <w:r>
        <w:rPr>
          <w:spacing w:val="-2"/>
        </w:rPr>
        <w:t> </w:t>
      </w:r>
      <w:r>
        <w:rPr/>
        <w:t>1.</w:t>
      </w:r>
      <w:r>
        <w:rPr>
          <w:spacing w:val="-3"/>
        </w:rPr>
        <w:t> </w:t>
      </w:r>
      <w:r>
        <w:rPr/>
        <w:t>PLS</w:t>
      </w:r>
      <w:r>
        <w:rPr>
          <w:spacing w:val="-1"/>
        </w:rPr>
        <w:t> </w:t>
      </w:r>
      <w:r>
        <w:rPr/>
        <w:t>Algorithm</w:t>
      </w:r>
    </w:p>
    <w:p>
      <w:pPr>
        <w:pStyle w:val="BodyText"/>
        <w:ind w:left="0"/>
        <w:jc w:val="lef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1127942</wp:posOffset>
            </wp:positionH>
            <wp:positionV relativeFrom="paragraph">
              <wp:posOffset>193243</wp:posOffset>
            </wp:positionV>
            <wp:extent cx="5060304" cy="336042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0304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73"/>
      </w:pPr>
      <w:r>
        <w:rPr/>
        <w:t>Table</w:t>
      </w:r>
      <w:r>
        <w:rPr>
          <w:spacing w:val="-3"/>
        </w:rPr>
        <w:t> </w:t>
      </w:r>
      <w:r>
        <w:rPr/>
        <w:t>III.</w:t>
      </w:r>
      <w:r>
        <w:rPr>
          <w:spacing w:val="-3"/>
        </w:rPr>
        <w:t> </w:t>
      </w:r>
      <w:r>
        <w:rPr/>
        <w:t>Discriminant</w:t>
      </w:r>
      <w:r>
        <w:rPr>
          <w:spacing w:val="-4"/>
        </w:rPr>
        <w:t> </w:t>
      </w:r>
      <w:r>
        <w:rPr/>
        <w:t>Validity</w:t>
      </w:r>
    </w:p>
    <w:p>
      <w:pPr>
        <w:pStyle w:val="BodyText"/>
        <w:spacing w:before="1"/>
        <w:ind w:left="0"/>
        <w:jc w:val="left"/>
        <w:rPr>
          <w:sz w:val="25"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8"/>
        <w:gridCol w:w="1600"/>
        <w:gridCol w:w="1620"/>
        <w:gridCol w:w="1620"/>
        <w:gridCol w:w="1620"/>
      </w:tblGrid>
      <w:tr>
        <w:trPr>
          <w:trHeight w:val="278" w:hRule="atLeast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495" w:right="519"/>
              <w:jc w:val="center"/>
              <w:rPr>
                <w:sz w:val="24"/>
              </w:rPr>
            </w:pPr>
            <w:r>
              <w:rPr>
                <w:sz w:val="24"/>
              </w:rPr>
              <w:t>BC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517" w:right="518"/>
              <w:jc w:val="center"/>
              <w:rPr>
                <w:sz w:val="24"/>
              </w:rPr>
            </w:pPr>
            <w:r>
              <w:rPr>
                <w:sz w:val="24"/>
              </w:rPr>
              <w:t>BE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521" w:right="516"/>
              <w:jc w:val="center"/>
              <w:rPr>
                <w:sz w:val="24"/>
              </w:rPr>
            </w:pPr>
            <w:r>
              <w:rPr>
                <w:sz w:val="24"/>
              </w:rPr>
              <w:t>BL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515" w:right="518"/>
              <w:jc w:val="center"/>
              <w:rPr>
                <w:sz w:val="24"/>
              </w:rPr>
            </w:pPr>
            <w:r>
              <w:rPr>
                <w:sz w:val="24"/>
              </w:rPr>
              <w:t>BT</w:t>
            </w:r>
          </w:p>
        </w:tc>
      </w:tr>
      <w:tr>
        <w:trPr>
          <w:trHeight w:val="272" w:hRule="atLeast"/>
        </w:trPr>
        <w:tc>
          <w:tcPr>
            <w:tcW w:w="15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r>
              <w:rPr>
                <w:sz w:val="24"/>
              </w:rPr>
              <w:t>BC</w:t>
            </w:r>
          </w:p>
        </w:tc>
        <w:tc>
          <w:tcPr>
            <w:tcW w:w="16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501" w:right="519"/>
              <w:jc w:val="center"/>
              <w:rPr>
                <w:sz w:val="24"/>
              </w:rPr>
            </w:pPr>
            <w:r>
              <w:rPr>
                <w:sz w:val="24"/>
              </w:rPr>
              <w:t>0.828</w:t>
            </w:r>
          </w:p>
        </w:tc>
        <w:tc>
          <w:tcPr>
            <w:tcW w:w="16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558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BE</w:t>
            </w:r>
          </w:p>
        </w:tc>
        <w:tc>
          <w:tcPr>
            <w:tcW w:w="1600" w:type="dxa"/>
          </w:tcPr>
          <w:p>
            <w:pPr>
              <w:pStyle w:val="TableParagraph"/>
              <w:ind w:left="501" w:right="519"/>
              <w:jc w:val="center"/>
              <w:rPr>
                <w:sz w:val="24"/>
              </w:rPr>
            </w:pPr>
            <w:r>
              <w:rPr>
                <w:sz w:val="24"/>
              </w:rPr>
              <w:t>0.711</w:t>
            </w:r>
          </w:p>
        </w:tc>
        <w:tc>
          <w:tcPr>
            <w:tcW w:w="1620" w:type="dxa"/>
          </w:tcPr>
          <w:p>
            <w:pPr>
              <w:pStyle w:val="TableParagraph"/>
              <w:ind w:left="520" w:right="518"/>
              <w:jc w:val="center"/>
              <w:rPr>
                <w:sz w:val="24"/>
              </w:rPr>
            </w:pPr>
            <w:r>
              <w:rPr>
                <w:sz w:val="24"/>
              </w:rPr>
              <w:t>0.761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558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BL</w:t>
            </w:r>
          </w:p>
        </w:tc>
        <w:tc>
          <w:tcPr>
            <w:tcW w:w="1600" w:type="dxa"/>
          </w:tcPr>
          <w:p>
            <w:pPr>
              <w:pStyle w:val="TableParagraph"/>
              <w:ind w:left="501" w:right="519"/>
              <w:jc w:val="center"/>
              <w:rPr>
                <w:sz w:val="24"/>
              </w:rPr>
            </w:pPr>
            <w:r>
              <w:rPr>
                <w:sz w:val="24"/>
              </w:rPr>
              <w:t>0.806</w:t>
            </w:r>
          </w:p>
        </w:tc>
        <w:tc>
          <w:tcPr>
            <w:tcW w:w="1620" w:type="dxa"/>
          </w:tcPr>
          <w:p>
            <w:pPr>
              <w:pStyle w:val="TableParagraph"/>
              <w:ind w:left="520" w:right="518"/>
              <w:jc w:val="center"/>
              <w:rPr>
                <w:sz w:val="24"/>
              </w:rPr>
            </w:pPr>
            <w:r>
              <w:rPr>
                <w:sz w:val="24"/>
              </w:rPr>
              <w:t>0.662</w:t>
            </w:r>
          </w:p>
        </w:tc>
        <w:tc>
          <w:tcPr>
            <w:tcW w:w="1620" w:type="dxa"/>
          </w:tcPr>
          <w:p>
            <w:pPr>
              <w:pStyle w:val="TableParagraph"/>
              <w:ind w:left="521" w:right="518"/>
              <w:jc w:val="center"/>
              <w:rPr>
                <w:sz w:val="24"/>
              </w:rPr>
            </w:pPr>
            <w:r>
              <w:rPr>
                <w:sz w:val="24"/>
              </w:rPr>
              <w:t>0.876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15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BT</w:t>
            </w:r>
          </w:p>
        </w:tc>
        <w:tc>
          <w:tcPr>
            <w:tcW w:w="16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501" w:right="519"/>
              <w:jc w:val="center"/>
              <w:rPr>
                <w:sz w:val="24"/>
              </w:rPr>
            </w:pPr>
            <w:r>
              <w:rPr>
                <w:sz w:val="24"/>
              </w:rPr>
              <w:t>0.868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520" w:right="518"/>
              <w:jc w:val="center"/>
              <w:rPr>
                <w:sz w:val="24"/>
              </w:rPr>
            </w:pPr>
            <w:r>
              <w:rPr>
                <w:sz w:val="24"/>
              </w:rPr>
              <w:t>0.676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521" w:right="518"/>
              <w:jc w:val="center"/>
              <w:rPr>
                <w:sz w:val="24"/>
              </w:rPr>
            </w:pPr>
            <w:r>
              <w:rPr>
                <w:sz w:val="24"/>
              </w:rPr>
              <w:t>0.751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521" w:right="517"/>
              <w:jc w:val="center"/>
              <w:rPr>
                <w:sz w:val="24"/>
              </w:rPr>
            </w:pPr>
            <w:r>
              <w:rPr>
                <w:sz w:val="24"/>
              </w:rPr>
              <w:t>0.845</w:t>
            </w:r>
          </w:p>
        </w:tc>
      </w:tr>
    </w:tbl>
    <w:p>
      <w:pPr>
        <w:pStyle w:val="BodyText"/>
        <w:spacing w:before="7"/>
        <w:ind w:left="0"/>
        <w:jc w:val="left"/>
        <w:rPr>
          <w:sz w:val="23"/>
        </w:rPr>
      </w:pPr>
    </w:p>
    <w:p>
      <w:pPr>
        <w:pStyle w:val="Heading1"/>
        <w:spacing w:line="240" w:lineRule="auto" w:before="1"/>
      </w:pPr>
      <w:r>
        <w:rPr/>
        <w:t>Structural</w:t>
      </w:r>
      <w:r>
        <w:rPr>
          <w:spacing w:val="-2"/>
        </w:rPr>
        <w:t> </w:t>
      </w:r>
      <w:r>
        <w:rPr/>
        <w:t>model</w:t>
      </w:r>
    </w:p>
    <w:p>
      <w:pPr>
        <w:pStyle w:val="BodyText"/>
        <w:spacing w:before="32"/>
        <w:ind w:right="118" w:firstLine="719"/>
      </w:pPr>
      <w:r>
        <w:rPr/>
        <w:t>Latent variable techniques of PLS–SEM were employed to evaluate the hypotheses</w:t>
      </w:r>
      <w:r>
        <w:rPr>
          <w:spacing w:val="1"/>
        </w:rPr>
        <w:t> </w:t>
      </w:r>
      <w:r>
        <w:rPr/>
        <w:t>developed in this study. To assess the significant relationship hypothesized in the study, the</w:t>
      </w:r>
      <w:r>
        <w:rPr>
          <w:spacing w:val="1"/>
        </w:rPr>
        <w:t> </w:t>
      </w:r>
      <w:r>
        <w:rPr/>
        <w:t>direct relationship of the independent variables with the dependent variable were examined.</w:t>
      </w:r>
      <w:r>
        <w:rPr>
          <w:spacing w:val="1"/>
        </w:rPr>
        <w:t> </w:t>
      </w:r>
      <w:r>
        <w:rPr/>
        <w:t>The direct</w:t>
      </w:r>
      <w:r>
        <w:rPr>
          <w:spacing w:val="-1"/>
        </w:rPr>
        <w:t> </w:t>
      </w:r>
      <w:r>
        <w:rPr/>
        <w:t>structural relationships</w:t>
      </w:r>
      <w:r>
        <w:rPr>
          <w:spacing w:val="-3"/>
        </w:rPr>
        <w:t> </w:t>
      </w:r>
      <w:r>
        <w:rPr/>
        <w:t>were</w:t>
      </w:r>
      <w:r>
        <w:rPr>
          <w:spacing w:val="1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in Table IV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Figure 2.</w:t>
      </w:r>
    </w:p>
    <w:p>
      <w:pPr>
        <w:pStyle w:val="BodyText"/>
        <w:ind w:right="111" w:firstLine="719"/>
      </w:pPr>
      <w:r>
        <w:rPr/>
        <w:t>The result indicates that brand experience positively and considerably relates to brand</w:t>
      </w:r>
      <w:r>
        <w:rPr>
          <w:spacing w:val="1"/>
        </w:rPr>
        <w:t> </w:t>
      </w:r>
      <w:r>
        <w:rPr/>
        <w:t>commitment (β = 0.038; </w:t>
      </w:r>
      <w:r>
        <w:rPr>
          <w:i/>
        </w:rPr>
        <w:t>t </w:t>
      </w:r>
      <w:r>
        <w:rPr/>
        <w:t>= 18.578; </w:t>
      </w:r>
      <w:r>
        <w:rPr>
          <w:i/>
        </w:rPr>
        <w:t>p </w:t>
      </w:r>
      <w:r>
        <w:rPr/>
        <w:t>= 0.000), thus H1 is supported. Similarly, brand</w:t>
      </w:r>
      <w:r>
        <w:rPr>
          <w:spacing w:val="1"/>
        </w:rPr>
        <w:t> </w:t>
      </w:r>
      <w:r>
        <w:rPr/>
        <w:t>experience positively relates to brand trust (β = 0.044; </w:t>
      </w:r>
      <w:r>
        <w:rPr>
          <w:i/>
        </w:rPr>
        <w:t>t </w:t>
      </w:r>
      <w:r>
        <w:rPr/>
        <w:t>= 15.444; </w:t>
      </w:r>
      <w:r>
        <w:rPr>
          <w:i/>
        </w:rPr>
        <w:t>p </w:t>
      </w:r>
      <w:r>
        <w:rPr/>
        <w:t>= 0.000), therefore H2 is</w:t>
      </w:r>
      <w:r>
        <w:rPr>
          <w:spacing w:val="1"/>
        </w:rPr>
        <w:t> </w:t>
      </w:r>
      <w:r>
        <w:rPr/>
        <w:t>also supported. Likewise, brand experience positively relates to brand loyalty (β = 0.082; </w:t>
      </w:r>
      <w:r>
        <w:rPr>
          <w:i/>
        </w:rPr>
        <w:t>t </w:t>
      </w:r>
      <w:r>
        <w:rPr/>
        <w:t>=</w:t>
      </w:r>
      <w:r>
        <w:rPr>
          <w:spacing w:val="1"/>
        </w:rPr>
        <w:t> </w:t>
      </w:r>
      <w:r>
        <w:rPr/>
        <w:t>1.964;</w:t>
      </w:r>
      <w:r>
        <w:rPr>
          <w:spacing w:val="1"/>
        </w:rPr>
        <w:t> </w:t>
      </w:r>
      <w:r>
        <w:rPr>
          <w:i/>
        </w:rPr>
        <w:t>p</w:t>
      </w:r>
      <w:r>
        <w:rPr>
          <w:i/>
          <w:spacing w:val="1"/>
        </w:rPr>
        <w:t> </w:t>
      </w:r>
      <w:r>
        <w:rPr/>
        <w:t>= 0.050), therefore</w:t>
      </w:r>
      <w:r>
        <w:rPr>
          <w:spacing w:val="1"/>
        </w:rPr>
        <w:t> </w:t>
      </w:r>
      <w:r>
        <w:rPr/>
        <w:t>H3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supported.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commitment</w:t>
      </w:r>
      <w:r>
        <w:rPr>
          <w:spacing w:val="60"/>
        </w:rPr>
        <w:t> </w:t>
      </w:r>
      <w:r>
        <w:rPr/>
        <w:t>also positively</w:t>
      </w:r>
      <w:r>
        <w:rPr>
          <w:spacing w:val="1"/>
        </w:rPr>
        <w:t> </w:t>
      </w:r>
      <w:r>
        <w:rPr/>
        <w:t>relates to brand loyalty (β = 0.107; </w:t>
      </w:r>
      <w:r>
        <w:rPr>
          <w:i/>
        </w:rPr>
        <w:t>t </w:t>
      </w:r>
      <w:r>
        <w:rPr/>
        <w:t>= 5.080; </w:t>
      </w:r>
      <w:r>
        <w:rPr>
          <w:i/>
        </w:rPr>
        <w:t>p </w:t>
      </w:r>
      <w:r>
        <w:rPr/>
        <w:t>= 0.000), therefore H4 is supported. However,</w:t>
      </w:r>
      <w:r>
        <w:rPr>
          <w:spacing w:val="1"/>
        </w:rPr>
        <w:t> </w:t>
      </w:r>
      <w:r>
        <w:rPr/>
        <w:t>H5 is not supported as the statistical result shows not significant relationship of brand trust</w:t>
      </w:r>
      <w:r>
        <w:rPr>
          <w:spacing w:val="1"/>
        </w:rPr>
        <w:t> </w:t>
      </w:r>
      <w:r>
        <w:rPr/>
        <w:t>with brand loyalty (β = 0.103; </w:t>
      </w:r>
      <w:r>
        <w:rPr>
          <w:i/>
        </w:rPr>
        <w:t>t </w:t>
      </w:r>
      <w:r>
        <w:rPr/>
        <w:t>= 1.686; </w:t>
      </w:r>
      <w:r>
        <w:rPr>
          <w:i/>
        </w:rPr>
        <w:t>p </w:t>
      </w:r>
      <w:r>
        <w:rPr/>
        <w:t>= 0.092). The R</w:t>
      </w:r>
      <w:r>
        <w:rPr>
          <w:vertAlign w:val="superscript"/>
        </w:rPr>
        <w:t>2</w:t>
      </w:r>
      <w:r>
        <w:rPr>
          <w:vertAlign w:val="baseline"/>
        </w:rPr>
        <w:t> score (0.672) indicates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overall, the independent variables, Brand Experience, Brand Commitment, and Brand Loyalty</w:t>
      </w:r>
      <w:r>
        <w:rPr>
          <w:spacing w:val="-57"/>
          <w:vertAlign w:val="baseline"/>
        </w:rPr>
        <w:t> </w:t>
      </w:r>
      <w:r>
        <w:rPr>
          <w:vertAlign w:val="baseline"/>
        </w:rPr>
        <w:t>predicted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Brand</w:t>
      </w:r>
      <w:r>
        <w:rPr>
          <w:spacing w:val="3"/>
          <w:vertAlign w:val="baseline"/>
        </w:rPr>
        <w:t> </w:t>
      </w:r>
      <w:r>
        <w:rPr>
          <w:vertAlign w:val="baseline"/>
        </w:rPr>
        <w:t>Loyalty</w:t>
      </w:r>
      <w:r>
        <w:rPr>
          <w:spacing w:val="-5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67 percent</w:t>
      </w:r>
      <w:r>
        <w:rPr>
          <w:spacing w:val="-4"/>
          <w:vertAlign w:val="baseline"/>
        </w:rPr>
        <w:t> </w:t>
      </w:r>
      <w:r>
        <w:rPr>
          <w:vertAlign w:val="baseline"/>
        </w:rPr>
        <w:t>(figure</w:t>
      </w:r>
      <w:r>
        <w:rPr>
          <w:spacing w:val="1"/>
          <w:vertAlign w:val="baseline"/>
        </w:rPr>
        <w:t> </w:t>
      </w:r>
      <w:r>
        <w:rPr>
          <w:vertAlign w:val="baseline"/>
        </w:rPr>
        <w:t>1)</w:t>
      </w:r>
    </w:p>
    <w:p>
      <w:pPr>
        <w:spacing w:after="0"/>
        <w:sectPr>
          <w:pgSz w:w="11910" w:h="16840"/>
          <w:pgMar w:header="0" w:footer="998" w:top="1320" w:bottom="1180" w:left="1180" w:right="1300"/>
        </w:sectPr>
      </w:pPr>
    </w:p>
    <w:p>
      <w:pPr>
        <w:pStyle w:val="BodyText"/>
        <w:spacing w:before="72"/>
        <w:jc w:val="left"/>
      </w:pPr>
      <w:r>
        <w:rPr/>
        <w:t>Figure</w:t>
      </w:r>
      <w:r>
        <w:rPr>
          <w:spacing w:val="-3"/>
        </w:rPr>
        <w:t> </w:t>
      </w:r>
      <w:r>
        <w:rPr/>
        <w:t>2.</w:t>
      </w:r>
      <w:r>
        <w:rPr>
          <w:spacing w:val="-2"/>
        </w:rPr>
        <w:t> </w:t>
      </w:r>
      <w:r>
        <w:rPr/>
        <w:t>PLS Bootstrapping</w:t>
      </w:r>
    </w:p>
    <w:p>
      <w:pPr>
        <w:pStyle w:val="BodyText"/>
        <w:spacing w:before="5"/>
        <w:ind w:left="0"/>
        <w:jc w:val="lef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1120322</wp:posOffset>
            </wp:positionH>
            <wp:positionV relativeFrom="paragraph">
              <wp:posOffset>217986</wp:posOffset>
            </wp:positionV>
            <wp:extent cx="5064220" cy="336042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4220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ind w:left="0"/>
        <w:jc w:val="left"/>
        <w:rPr>
          <w:sz w:val="32"/>
        </w:rPr>
      </w:pPr>
    </w:p>
    <w:p>
      <w:pPr>
        <w:pStyle w:val="BodyText"/>
        <w:jc w:val="left"/>
      </w:pPr>
      <w:r>
        <w:rPr/>
        <w:t>Table</w:t>
      </w:r>
      <w:r>
        <w:rPr>
          <w:spacing w:val="-1"/>
        </w:rPr>
        <w:t> </w:t>
      </w:r>
      <w:r>
        <w:rPr/>
        <w:t>IV.</w:t>
      </w:r>
      <w:r>
        <w:rPr>
          <w:spacing w:val="-3"/>
        </w:rPr>
        <w:t> </w:t>
      </w:r>
      <w:r>
        <w:rPr/>
        <w:t>Hypothesis</w:t>
      </w:r>
      <w:r>
        <w:rPr>
          <w:spacing w:val="-4"/>
        </w:rPr>
        <w:t> </w:t>
      </w:r>
      <w:r>
        <w:rPr/>
        <w:t>Testing</w:t>
      </w:r>
      <w:r>
        <w:rPr>
          <w:spacing w:val="-7"/>
        </w:rPr>
        <w:t> </w:t>
      </w:r>
      <w:r>
        <w:rPr/>
        <w:t>Results</w:t>
      </w:r>
    </w:p>
    <w:p>
      <w:pPr>
        <w:pStyle w:val="BodyText"/>
        <w:spacing w:before="2" w:after="1"/>
        <w:ind w:left="0"/>
        <w:jc w:val="left"/>
        <w:rPr>
          <w:sz w:val="28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4"/>
        <w:gridCol w:w="1092"/>
        <w:gridCol w:w="979"/>
        <w:gridCol w:w="938"/>
        <w:gridCol w:w="1140"/>
        <w:gridCol w:w="873"/>
        <w:gridCol w:w="2169"/>
      </w:tblGrid>
      <w:tr>
        <w:trPr>
          <w:trHeight w:val="270" w:hRule="atLeast"/>
        </w:trPr>
        <w:tc>
          <w:tcPr>
            <w:tcW w:w="281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896" w:val="left" w:leader="none"/>
              </w:tabs>
              <w:spacing w:line="251" w:lineRule="exact"/>
              <w:ind w:left="352"/>
              <w:rPr>
                <w:sz w:val="24"/>
              </w:rPr>
            </w:pPr>
            <w:r>
              <w:rPr>
                <w:sz w:val="24"/>
              </w:rPr>
              <w:t>Hypothesis</w:t>
              <w:tab/>
            </w:r>
            <w:r>
              <w:rPr>
                <w:position w:val="14"/>
                <w:sz w:val="24"/>
              </w:rPr>
              <w:t>Original</w:t>
            </w:r>
          </w:p>
        </w:tc>
        <w:tc>
          <w:tcPr>
            <w:tcW w:w="6099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85" w:val="left" w:leader="none"/>
                <w:tab w:pos="2433" w:val="left" w:leader="none"/>
                <w:tab w:pos="3398" w:val="left" w:leader="none"/>
                <w:tab w:pos="4714" w:val="left" w:leader="none"/>
              </w:tabs>
              <w:spacing w:line="251" w:lineRule="exact"/>
              <w:ind w:left="120"/>
              <w:rPr>
                <w:sz w:val="24"/>
              </w:rPr>
            </w:pPr>
            <w:r>
              <w:rPr>
                <w:position w:val="14"/>
                <w:sz w:val="24"/>
              </w:rPr>
              <w:t>Sample</w:t>
              <w:tab/>
            </w:r>
            <w:r>
              <w:rPr>
                <w:sz w:val="24"/>
              </w:rPr>
              <w:t>STDEV</w:t>
              <w:tab/>
            </w:r>
            <w:r>
              <w:rPr>
                <w:i/>
                <w:position w:val="14"/>
                <w:sz w:val="24"/>
              </w:rPr>
              <w:t>t</w:t>
            </w:r>
            <w:r>
              <w:rPr>
                <w:position w:val="14"/>
                <w:sz w:val="24"/>
              </w:rPr>
              <w:t>-</w:t>
              <w:tab/>
            </w:r>
            <w:r>
              <w:rPr>
                <w:i/>
                <w:position w:val="14"/>
                <w:sz w:val="24"/>
              </w:rPr>
              <w:t>p</w:t>
            </w:r>
            <w:r>
              <w:rPr>
                <w:position w:val="14"/>
                <w:sz w:val="24"/>
              </w:rPr>
              <w:t>-</w:t>
              <w:tab/>
            </w:r>
            <w:r>
              <w:rPr>
                <w:sz w:val="24"/>
              </w:rPr>
              <w:t>Result</w:t>
            </w:r>
          </w:p>
        </w:tc>
      </w:tr>
      <w:tr>
        <w:trPr>
          <w:trHeight w:val="283" w:hRule="atLeast"/>
        </w:trPr>
        <w:tc>
          <w:tcPr>
            <w:tcW w:w="17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93" w:right="139"/>
              <w:jc w:val="center"/>
              <w:rPr>
                <w:sz w:val="24"/>
              </w:rPr>
            </w:pPr>
            <w:r>
              <w:rPr>
                <w:sz w:val="24"/>
              </w:rPr>
              <w:t>Sample</w:t>
            </w:r>
          </w:p>
        </w:tc>
        <w:tc>
          <w:tcPr>
            <w:tcW w:w="9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209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9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56" w:right="116"/>
              <w:jc w:val="center"/>
              <w:rPr>
                <w:sz w:val="24"/>
              </w:rPr>
            </w:pPr>
            <w:r>
              <w:rPr>
                <w:sz w:val="24"/>
              </w:rPr>
              <w:t>statistics</w:t>
            </w:r>
          </w:p>
        </w:tc>
        <w:tc>
          <w:tcPr>
            <w:tcW w:w="8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36"/>
              <w:rPr>
                <w:sz w:val="24"/>
              </w:rPr>
            </w:pPr>
            <w:r>
              <w:rPr>
                <w:sz w:val="24"/>
              </w:rPr>
              <w:t>values</w:t>
            </w:r>
          </w:p>
        </w:tc>
        <w:tc>
          <w:tcPr>
            <w:tcW w:w="21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7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H1.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> </w:t>
            </w:r>
            <w:r>
              <w:rPr>
                <w:rFonts w:ascii="Wingdings" w:hAnsi="Wingdings"/>
                <w:sz w:val="24"/>
              </w:rPr>
              <w:t></w:t>
            </w:r>
            <w:r>
              <w:rPr>
                <w:sz w:val="24"/>
              </w:rPr>
              <w:t> BC</w:t>
            </w:r>
          </w:p>
        </w:tc>
        <w:tc>
          <w:tcPr>
            <w:tcW w:w="10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88" w:right="139"/>
              <w:jc w:val="center"/>
              <w:rPr>
                <w:sz w:val="24"/>
              </w:rPr>
            </w:pPr>
            <w:r>
              <w:rPr>
                <w:sz w:val="24"/>
              </w:rPr>
              <w:t>0.711</w:t>
            </w:r>
          </w:p>
        </w:tc>
        <w:tc>
          <w:tcPr>
            <w:tcW w:w="9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213"/>
              <w:rPr>
                <w:sz w:val="24"/>
              </w:rPr>
            </w:pPr>
            <w:r>
              <w:rPr>
                <w:sz w:val="24"/>
              </w:rPr>
              <w:t>0.715</w:t>
            </w:r>
          </w:p>
        </w:tc>
        <w:tc>
          <w:tcPr>
            <w:tcW w:w="9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201" w:right="156"/>
              <w:jc w:val="center"/>
              <w:rPr>
                <w:sz w:val="24"/>
              </w:rPr>
            </w:pPr>
            <w:r>
              <w:rPr>
                <w:sz w:val="24"/>
              </w:rPr>
              <w:t>0.043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56" w:right="115"/>
              <w:jc w:val="center"/>
              <w:rPr>
                <w:sz w:val="24"/>
              </w:rPr>
            </w:pPr>
            <w:r>
              <w:rPr>
                <w:sz w:val="24"/>
              </w:rPr>
              <w:t>16.601</w:t>
            </w:r>
          </w:p>
        </w:tc>
        <w:tc>
          <w:tcPr>
            <w:tcW w:w="8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73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21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23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276" w:hRule="atLeast"/>
        </w:trPr>
        <w:tc>
          <w:tcPr>
            <w:tcW w:w="172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> </w:t>
            </w:r>
            <w:r>
              <w:rPr>
                <w:rFonts w:ascii="Wingdings" w:hAnsi="Wingdings"/>
                <w:sz w:val="24"/>
              </w:rPr>
              <w:t></w:t>
            </w:r>
            <w:r>
              <w:rPr>
                <w:sz w:val="24"/>
              </w:rPr>
              <w:t> BT</w:t>
            </w:r>
          </w:p>
        </w:tc>
        <w:tc>
          <w:tcPr>
            <w:tcW w:w="1092" w:type="dxa"/>
          </w:tcPr>
          <w:p>
            <w:pPr>
              <w:pStyle w:val="TableParagraph"/>
              <w:ind w:left="188" w:right="139"/>
              <w:jc w:val="center"/>
              <w:rPr>
                <w:sz w:val="24"/>
              </w:rPr>
            </w:pPr>
            <w:r>
              <w:rPr>
                <w:sz w:val="24"/>
              </w:rPr>
              <w:t>0.676</w:t>
            </w:r>
          </w:p>
        </w:tc>
        <w:tc>
          <w:tcPr>
            <w:tcW w:w="979" w:type="dxa"/>
          </w:tcPr>
          <w:p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0.681</w:t>
            </w:r>
          </w:p>
        </w:tc>
        <w:tc>
          <w:tcPr>
            <w:tcW w:w="938" w:type="dxa"/>
          </w:tcPr>
          <w:p>
            <w:pPr>
              <w:pStyle w:val="TableParagraph"/>
              <w:ind w:left="201" w:right="156"/>
              <w:jc w:val="center"/>
              <w:rPr>
                <w:sz w:val="24"/>
              </w:rPr>
            </w:pPr>
            <w:r>
              <w:rPr>
                <w:sz w:val="24"/>
              </w:rPr>
              <w:t>0.043</w:t>
            </w:r>
          </w:p>
        </w:tc>
        <w:tc>
          <w:tcPr>
            <w:tcW w:w="1140" w:type="dxa"/>
          </w:tcPr>
          <w:p>
            <w:pPr>
              <w:pStyle w:val="TableParagraph"/>
              <w:ind w:left="156" w:right="115"/>
              <w:jc w:val="center"/>
              <w:rPr>
                <w:sz w:val="24"/>
              </w:rPr>
            </w:pPr>
            <w:r>
              <w:rPr>
                <w:sz w:val="24"/>
              </w:rPr>
              <w:t>15.682</w:t>
            </w:r>
          </w:p>
        </w:tc>
        <w:tc>
          <w:tcPr>
            <w:tcW w:w="873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2169" w:type="dxa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275" w:hRule="atLeast"/>
        </w:trPr>
        <w:tc>
          <w:tcPr>
            <w:tcW w:w="172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rFonts w:ascii="Wingdings" w:hAnsi="Wingdings"/>
                <w:sz w:val="24"/>
              </w:rPr>
              <w:t>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BL</w:t>
            </w:r>
          </w:p>
        </w:tc>
        <w:tc>
          <w:tcPr>
            <w:tcW w:w="1092" w:type="dxa"/>
          </w:tcPr>
          <w:p>
            <w:pPr>
              <w:pStyle w:val="TableParagraph"/>
              <w:ind w:left="188" w:right="139"/>
              <w:jc w:val="center"/>
              <w:rPr>
                <w:sz w:val="24"/>
              </w:rPr>
            </w:pPr>
            <w:r>
              <w:rPr>
                <w:sz w:val="24"/>
              </w:rPr>
              <w:t>0.160</w:t>
            </w:r>
          </w:p>
        </w:tc>
        <w:tc>
          <w:tcPr>
            <w:tcW w:w="979" w:type="dxa"/>
          </w:tcPr>
          <w:p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0.162</w:t>
            </w:r>
          </w:p>
        </w:tc>
        <w:tc>
          <w:tcPr>
            <w:tcW w:w="938" w:type="dxa"/>
          </w:tcPr>
          <w:p>
            <w:pPr>
              <w:pStyle w:val="TableParagraph"/>
              <w:ind w:left="201" w:right="156"/>
              <w:jc w:val="center"/>
              <w:rPr>
                <w:sz w:val="24"/>
              </w:rPr>
            </w:pPr>
            <w:r>
              <w:rPr>
                <w:sz w:val="24"/>
              </w:rPr>
              <w:t>0.082</w:t>
            </w:r>
          </w:p>
        </w:tc>
        <w:tc>
          <w:tcPr>
            <w:tcW w:w="1140" w:type="dxa"/>
          </w:tcPr>
          <w:p>
            <w:pPr>
              <w:pStyle w:val="TableParagraph"/>
              <w:ind w:left="156" w:right="115"/>
              <w:jc w:val="center"/>
              <w:rPr>
                <w:sz w:val="24"/>
              </w:rPr>
            </w:pPr>
            <w:r>
              <w:rPr>
                <w:sz w:val="24"/>
              </w:rPr>
              <w:t>1.964</w:t>
            </w:r>
          </w:p>
        </w:tc>
        <w:tc>
          <w:tcPr>
            <w:tcW w:w="873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0.050</w:t>
            </w:r>
          </w:p>
        </w:tc>
        <w:tc>
          <w:tcPr>
            <w:tcW w:w="2169" w:type="dxa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276" w:hRule="atLeast"/>
        </w:trPr>
        <w:tc>
          <w:tcPr>
            <w:tcW w:w="172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H4.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BC</w:t>
            </w:r>
            <w:r>
              <w:rPr>
                <w:spacing w:val="-2"/>
                <w:sz w:val="24"/>
              </w:rPr>
              <w:t> </w:t>
            </w:r>
            <w:r>
              <w:rPr>
                <w:rFonts w:ascii="Wingdings" w:hAnsi="Wingdings"/>
                <w:sz w:val="24"/>
              </w:rPr>
              <w:t>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BL</w:t>
            </w:r>
          </w:p>
        </w:tc>
        <w:tc>
          <w:tcPr>
            <w:tcW w:w="1092" w:type="dxa"/>
          </w:tcPr>
          <w:p>
            <w:pPr>
              <w:pStyle w:val="TableParagraph"/>
              <w:ind w:left="188" w:right="139"/>
              <w:jc w:val="center"/>
              <w:rPr>
                <w:sz w:val="24"/>
              </w:rPr>
            </w:pPr>
            <w:r>
              <w:rPr>
                <w:sz w:val="24"/>
              </w:rPr>
              <w:t>0.541</w:t>
            </w:r>
          </w:p>
        </w:tc>
        <w:tc>
          <w:tcPr>
            <w:tcW w:w="979" w:type="dxa"/>
          </w:tcPr>
          <w:p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0.532</w:t>
            </w:r>
          </w:p>
        </w:tc>
        <w:tc>
          <w:tcPr>
            <w:tcW w:w="938" w:type="dxa"/>
          </w:tcPr>
          <w:p>
            <w:pPr>
              <w:pStyle w:val="TableParagraph"/>
              <w:ind w:left="201" w:right="156"/>
              <w:jc w:val="center"/>
              <w:rPr>
                <w:sz w:val="24"/>
              </w:rPr>
            </w:pPr>
            <w:r>
              <w:rPr>
                <w:sz w:val="24"/>
              </w:rPr>
              <w:t>0.107</w:t>
            </w:r>
          </w:p>
        </w:tc>
        <w:tc>
          <w:tcPr>
            <w:tcW w:w="1140" w:type="dxa"/>
          </w:tcPr>
          <w:p>
            <w:pPr>
              <w:pStyle w:val="TableParagraph"/>
              <w:ind w:left="156" w:right="115"/>
              <w:jc w:val="center"/>
              <w:rPr>
                <w:sz w:val="24"/>
              </w:rPr>
            </w:pPr>
            <w:r>
              <w:rPr>
                <w:sz w:val="24"/>
              </w:rPr>
              <w:t>5.080</w:t>
            </w:r>
          </w:p>
        </w:tc>
        <w:tc>
          <w:tcPr>
            <w:tcW w:w="873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2169" w:type="dxa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272" w:hRule="atLeast"/>
        </w:trPr>
        <w:tc>
          <w:tcPr>
            <w:tcW w:w="1724" w:type="dxa"/>
          </w:tcPr>
          <w:p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H5.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BT</w:t>
            </w:r>
            <w:r>
              <w:rPr>
                <w:spacing w:val="-2"/>
                <w:sz w:val="24"/>
              </w:rPr>
              <w:t> </w:t>
            </w:r>
            <w:r>
              <w:rPr>
                <w:rFonts w:ascii="Wingdings" w:hAnsi="Wingdings"/>
                <w:sz w:val="24"/>
              </w:rPr>
              <w:t>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BL</w:t>
            </w:r>
          </w:p>
        </w:tc>
        <w:tc>
          <w:tcPr>
            <w:tcW w:w="1092" w:type="dxa"/>
          </w:tcPr>
          <w:p>
            <w:pPr>
              <w:pStyle w:val="TableParagraph"/>
              <w:spacing w:line="252" w:lineRule="exact"/>
              <w:ind w:left="188" w:right="139"/>
              <w:jc w:val="center"/>
              <w:rPr>
                <w:sz w:val="24"/>
              </w:rPr>
            </w:pPr>
            <w:r>
              <w:rPr>
                <w:sz w:val="24"/>
              </w:rPr>
              <w:t>0.173</w:t>
            </w:r>
          </w:p>
        </w:tc>
        <w:tc>
          <w:tcPr>
            <w:tcW w:w="979" w:type="dxa"/>
          </w:tcPr>
          <w:p>
            <w:pPr>
              <w:pStyle w:val="TableParagraph"/>
              <w:spacing w:line="252" w:lineRule="exact"/>
              <w:ind w:left="213"/>
              <w:rPr>
                <w:sz w:val="24"/>
              </w:rPr>
            </w:pPr>
            <w:r>
              <w:rPr>
                <w:sz w:val="24"/>
              </w:rPr>
              <w:t>0.182</w:t>
            </w:r>
          </w:p>
        </w:tc>
        <w:tc>
          <w:tcPr>
            <w:tcW w:w="938" w:type="dxa"/>
          </w:tcPr>
          <w:p>
            <w:pPr>
              <w:pStyle w:val="TableParagraph"/>
              <w:spacing w:line="252" w:lineRule="exact"/>
              <w:ind w:left="201" w:right="156"/>
              <w:jc w:val="center"/>
              <w:rPr>
                <w:sz w:val="24"/>
              </w:rPr>
            </w:pPr>
            <w:r>
              <w:rPr>
                <w:sz w:val="24"/>
              </w:rPr>
              <w:t>0.103</w:t>
            </w:r>
          </w:p>
        </w:tc>
        <w:tc>
          <w:tcPr>
            <w:tcW w:w="1140" w:type="dxa"/>
          </w:tcPr>
          <w:p>
            <w:pPr>
              <w:pStyle w:val="TableParagraph"/>
              <w:spacing w:line="252" w:lineRule="exact"/>
              <w:ind w:left="156" w:right="115"/>
              <w:jc w:val="center"/>
              <w:rPr>
                <w:sz w:val="24"/>
              </w:rPr>
            </w:pPr>
            <w:r>
              <w:rPr>
                <w:sz w:val="24"/>
              </w:rPr>
              <w:t>1.686</w:t>
            </w:r>
          </w:p>
        </w:tc>
        <w:tc>
          <w:tcPr>
            <w:tcW w:w="873" w:type="dxa"/>
          </w:tcPr>
          <w:p>
            <w:pPr>
              <w:pStyle w:val="TableParagraph"/>
              <w:spacing w:line="252" w:lineRule="exact"/>
              <w:ind w:left="173"/>
              <w:rPr>
                <w:sz w:val="24"/>
              </w:rPr>
            </w:pPr>
            <w:r>
              <w:rPr>
                <w:sz w:val="24"/>
              </w:rPr>
              <w:t>0.092</w:t>
            </w:r>
          </w:p>
        </w:tc>
        <w:tc>
          <w:tcPr>
            <w:tcW w:w="2169" w:type="dxa"/>
          </w:tcPr>
          <w:p>
            <w:pPr>
              <w:pStyle w:val="TableParagraph"/>
              <w:spacing w:line="252" w:lineRule="exact"/>
              <w:ind w:left="123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Significant</w:t>
            </w:r>
          </w:p>
        </w:tc>
      </w:tr>
    </w:tbl>
    <w:p>
      <w:pPr>
        <w:pStyle w:val="BodyText"/>
        <w:ind w:left="0"/>
        <w:jc w:val="left"/>
      </w:pPr>
    </w:p>
    <w:p>
      <w:pPr>
        <w:pStyle w:val="BodyText"/>
        <w:tabs>
          <w:tab w:pos="9042" w:val="left" w:leader="none"/>
        </w:tabs>
        <w:ind w:left="116"/>
        <w:jc w:val="left"/>
      </w:pPr>
      <w:r>
        <w:rPr>
          <w:u w:val="single"/>
        </w:rPr>
        <w:t>  </w:t>
      </w:r>
      <w:r>
        <w:rPr>
          <w:u w:val="single"/>
        </w:rPr>
        <w:t>Note:</w:t>
      </w:r>
      <w:r>
        <w:rPr>
          <w:spacing w:val="-4"/>
          <w:u w:val="single"/>
        </w:rPr>
        <w:t> </w:t>
      </w:r>
      <w:r>
        <w:rPr>
          <w:u w:val="single"/>
        </w:rPr>
        <w:t>*Significant</w:t>
      </w:r>
      <w:r>
        <w:rPr>
          <w:spacing w:val="-1"/>
          <w:u w:val="single"/>
        </w:rPr>
        <w:t> </w:t>
      </w:r>
      <w:r>
        <w:rPr>
          <w:u w:val="single"/>
        </w:rPr>
        <w:t>at</w:t>
      </w:r>
      <w:r>
        <w:rPr>
          <w:spacing w:val="4"/>
          <w:u w:val="single"/>
        </w:rPr>
        <w:t> </w:t>
      </w:r>
      <w:r>
        <w:rPr>
          <w:i/>
          <w:u w:val="single"/>
        </w:rPr>
        <w:t>p</w:t>
      </w:r>
      <w:r>
        <w:rPr>
          <w:i/>
          <w:spacing w:val="-1"/>
          <w:u w:val="single"/>
        </w:rPr>
        <w:t> </w:t>
      </w:r>
      <w:r>
        <w:rPr>
          <w:u w:val="single"/>
        </w:rPr>
        <w:t>≤</w:t>
      </w:r>
      <w:r>
        <w:rPr>
          <w:spacing w:val="-1"/>
          <w:u w:val="single"/>
        </w:rPr>
        <w:t> </w:t>
      </w:r>
      <w:r>
        <w:rPr>
          <w:u w:val="single"/>
        </w:rPr>
        <w:t>0.05</w:t>
        <w:tab/>
      </w:r>
    </w:p>
    <w:p>
      <w:pPr>
        <w:pStyle w:val="BodyText"/>
        <w:spacing w:before="10"/>
        <w:ind w:left="0"/>
        <w:jc w:val="left"/>
        <w:rPr>
          <w:sz w:val="17"/>
        </w:rPr>
      </w:pPr>
    </w:p>
    <w:p>
      <w:pPr>
        <w:pStyle w:val="Heading1"/>
        <w:spacing w:line="240" w:lineRule="auto" w:before="90"/>
        <w:jc w:val="left"/>
      </w:pPr>
      <w:r>
        <w:rPr/>
        <w:t>Discussion</w:t>
      </w:r>
    </w:p>
    <w:p>
      <w:pPr>
        <w:pStyle w:val="BodyText"/>
        <w:spacing w:before="32"/>
        <w:ind w:right="113" w:firstLine="719"/>
      </w:pPr>
      <w:r>
        <w:rPr/>
        <w:t>First, this study found that</w:t>
      </w:r>
      <w:r>
        <w:rPr>
          <w:spacing w:val="1"/>
        </w:rPr>
        <w:t> </w:t>
      </w:r>
      <w:r>
        <w:rPr/>
        <w:t>brand experience has a significant positive and direct</w:t>
      </w:r>
      <w:r>
        <w:rPr>
          <w:spacing w:val="1"/>
        </w:rPr>
        <w:t> </w:t>
      </w:r>
      <w:r>
        <w:rPr/>
        <w:t>influence on brand commitment. This result confirms previous studies findings (Şahin et al.,</w:t>
      </w:r>
      <w:r>
        <w:rPr>
          <w:spacing w:val="1"/>
        </w:rPr>
        <w:t> </w:t>
      </w:r>
      <w:r>
        <w:rPr/>
        <w:t>2012)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(Johnson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2006)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effects on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commitment.</w:t>
      </w:r>
    </w:p>
    <w:p>
      <w:pPr>
        <w:pStyle w:val="BodyText"/>
        <w:spacing w:before="1"/>
        <w:ind w:right="121" w:firstLine="719"/>
      </w:pPr>
      <w:r>
        <w:rPr/>
        <w:t>Second, this study found that brand experience has a significant influence on brand</w:t>
      </w:r>
      <w:r>
        <w:rPr>
          <w:spacing w:val="1"/>
        </w:rPr>
        <w:t> </w:t>
      </w:r>
      <w:r>
        <w:rPr/>
        <w:t>trust. The result confirms previous research stated that brand experience is proven to have a</w:t>
      </w:r>
      <w:r>
        <w:rPr>
          <w:spacing w:val="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</w:t>
      </w:r>
      <w:r>
        <w:rPr>
          <w:spacing w:val="3"/>
        </w:rPr>
        <w:t> </w:t>
      </w:r>
      <w:r>
        <w:rPr/>
        <w:t>brand</w:t>
      </w:r>
      <w:r>
        <w:rPr>
          <w:spacing w:val="-1"/>
        </w:rPr>
        <w:t> </w:t>
      </w:r>
      <w:r>
        <w:rPr/>
        <w:t>trust</w:t>
      </w:r>
      <w:r>
        <w:rPr>
          <w:spacing w:val="1"/>
        </w:rPr>
        <w:t> </w:t>
      </w:r>
      <w:r>
        <w:rPr/>
        <w:t>(Chinomona,</w:t>
      </w:r>
      <w:r>
        <w:rPr>
          <w:spacing w:val="-1"/>
        </w:rPr>
        <w:t> </w:t>
      </w:r>
      <w:r>
        <w:rPr/>
        <w:t>2013); (Yohanes</w:t>
      </w:r>
      <w:r>
        <w:rPr>
          <w:spacing w:val="-2"/>
        </w:rPr>
        <w:t> </w:t>
      </w:r>
      <w:r>
        <w:rPr/>
        <w:t>Surya,</w:t>
      </w:r>
      <w:r>
        <w:rPr>
          <w:spacing w:val="-1"/>
        </w:rPr>
        <w:t> </w:t>
      </w:r>
      <w:r>
        <w:rPr/>
        <w:t>2014).</w:t>
      </w:r>
    </w:p>
    <w:p>
      <w:pPr>
        <w:pStyle w:val="BodyText"/>
        <w:ind w:right="118" w:firstLine="719"/>
      </w:pPr>
      <w:r>
        <w:rPr/>
        <w:t>Third, this study found that brand experience has a significant influence on brand</w:t>
      </w:r>
      <w:r>
        <w:rPr>
          <w:spacing w:val="1"/>
        </w:rPr>
        <w:t> </w:t>
      </w:r>
      <w:r>
        <w:rPr/>
        <w:t>loyalty. This study confirms previous research stated that there is a significant relationship</w:t>
      </w:r>
      <w:r>
        <w:rPr>
          <w:spacing w:val="1"/>
        </w:rPr>
        <w:t> </w:t>
      </w:r>
      <w:r>
        <w:rPr/>
        <w:t>between brand experience and brand loyalty (Zarantonello &amp; Schmitt, 2010), (Ha &amp; Perks,</w:t>
      </w:r>
      <w:r>
        <w:rPr>
          <w:spacing w:val="1"/>
        </w:rPr>
        <w:t> </w:t>
      </w:r>
      <w:r>
        <w:rPr/>
        <w:t>2005).</w:t>
      </w:r>
    </w:p>
    <w:p>
      <w:pPr>
        <w:pStyle w:val="BodyText"/>
        <w:ind w:right="110" w:firstLine="719"/>
      </w:pPr>
      <w:r>
        <w:rPr/>
        <w:t>Fourth, this study found that brand commitment has a significant positive and direct</w:t>
      </w:r>
      <w:r>
        <w:rPr>
          <w:spacing w:val="1"/>
        </w:rPr>
        <w:t> </w:t>
      </w:r>
      <w:r>
        <w:rPr/>
        <w:t>influence on brand loyalty. This study is consistent with the findings of (Roy et al., 2017),</w:t>
      </w:r>
      <w:r>
        <w:rPr>
          <w:spacing w:val="1"/>
        </w:rPr>
        <w:t> </w:t>
      </w:r>
      <w:r>
        <w:rPr/>
        <w:t>(Lariviere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al.,</w:t>
      </w:r>
      <w:r>
        <w:rPr>
          <w:spacing w:val="-2"/>
        </w:rPr>
        <w:t> </w:t>
      </w:r>
      <w:r>
        <w:rPr/>
        <w:t>2014)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brand</w:t>
      </w:r>
      <w:r>
        <w:rPr>
          <w:spacing w:val="-3"/>
        </w:rPr>
        <w:t> </w:t>
      </w:r>
      <w:r>
        <w:rPr/>
        <w:t>commitment</w:t>
      </w:r>
      <w:r>
        <w:rPr>
          <w:spacing w:val="-2"/>
        </w:rPr>
        <w:t> </w:t>
      </w:r>
      <w:r>
        <w:rPr/>
        <w:t>has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brand</w:t>
      </w:r>
      <w:r>
        <w:rPr>
          <w:spacing w:val="-7"/>
        </w:rPr>
        <w:t> </w:t>
      </w:r>
      <w:r>
        <w:rPr/>
        <w:t>loyalty.</w:t>
      </w:r>
    </w:p>
    <w:p>
      <w:pPr>
        <w:spacing w:after="0"/>
        <w:sectPr>
          <w:pgSz w:w="11910" w:h="16840"/>
          <w:pgMar w:header="0" w:footer="998" w:top="1320" w:bottom="1180" w:left="1180" w:right="1300"/>
        </w:sectPr>
      </w:pPr>
    </w:p>
    <w:p>
      <w:pPr>
        <w:pStyle w:val="BodyText"/>
        <w:spacing w:before="72"/>
        <w:ind w:right="119" w:firstLine="719"/>
      </w:pPr>
      <w:r>
        <w:rPr/>
        <w:t>Fifth, this study found that brand trust has no significant influence on brand loyalty.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contrary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 between brand trust and brand loyalty (Sahin et al., 2011); (Song &amp; Wang, 2019);</w:t>
      </w:r>
      <w:r>
        <w:rPr>
          <w:spacing w:val="-57"/>
        </w:rPr>
        <w:t> </w:t>
      </w:r>
      <w:r>
        <w:rPr/>
        <w:t>(Kocak</w:t>
      </w:r>
      <w:r>
        <w:rPr>
          <w:spacing w:val="1"/>
        </w:rPr>
        <w:t> </w:t>
      </w:r>
      <w:r>
        <w:rPr/>
        <w:t>Alan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Kabadayi,</w:t>
      </w:r>
      <w:r>
        <w:rPr>
          <w:spacing w:val="-2"/>
        </w:rPr>
        <w:t> </w:t>
      </w:r>
      <w:r>
        <w:rPr/>
        <w:t>2012); (Ahmed</w:t>
      </w:r>
      <w:r>
        <w:rPr>
          <w:spacing w:val="-1"/>
        </w:rPr>
        <w:t> </w:t>
      </w:r>
      <w:r>
        <w:rPr/>
        <w:t>et</w:t>
      </w:r>
      <w:r>
        <w:rPr>
          <w:spacing w:val="-2"/>
        </w:rPr>
        <w:t> </w:t>
      </w:r>
      <w:r>
        <w:rPr/>
        <w:t>al.,</w:t>
      </w:r>
      <w:r>
        <w:rPr>
          <w:spacing w:val="-1"/>
        </w:rPr>
        <w:t> </w:t>
      </w:r>
      <w:r>
        <w:rPr/>
        <w:t>2014)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(Putra &amp;</w:t>
      </w:r>
      <w:r>
        <w:rPr>
          <w:spacing w:val="-1"/>
        </w:rPr>
        <w:t> </w:t>
      </w:r>
      <w:r>
        <w:rPr/>
        <w:t>Sulistyawati,</w:t>
      </w:r>
      <w:r>
        <w:rPr>
          <w:spacing w:val="-2"/>
        </w:rPr>
        <w:t> </w:t>
      </w:r>
      <w:r>
        <w:rPr/>
        <w:t>2014).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jc w:val="left"/>
      </w:pPr>
      <w:r>
        <w:rPr/>
        <w:t>Conclusion</w:t>
      </w:r>
    </w:p>
    <w:p>
      <w:pPr>
        <w:pStyle w:val="BodyText"/>
        <w:ind w:right="111" w:firstLine="719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217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who</w:t>
      </w:r>
      <w:r>
        <w:rPr>
          <w:spacing w:val="60"/>
        </w:rPr>
        <w:t> </w:t>
      </w:r>
      <w:r>
        <w:rPr/>
        <w:t>have</w:t>
      </w:r>
      <w:r>
        <w:rPr>
          <w:spacing w:val="60"/>
        </w:rPr>
        <w:t> </w:t>
      </w:r>
      <w:r>
        <w:rPr/>
        <w:t>purchased</w:t>
      </w:r>
      <w:r>
        <w:rPr>
          <w:spacing w:val="1"/>
        </w:rPr>
        <w:t> </w:t>
      </w:r>
      <w:r>
        <w:rPr/>
        <w:t>smartphone.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commitment, and brand trust on brand loyalty of smartphone brands in Indonesia. This study</w:t>
      </w:r>
      <w:r>
        <w:rPr>
          <w:spacing w:val="1"/>
        </w:rPr>
        <w:t> </w:t>
      </w:r>
      <w:r>
        <w:rPr/>
        <w:t>develops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experience with brand commitment, brand experience with brand trust, brand experience with</w:t>
      </w:r>
      <w:r>
        <w:rPr>
          <w:spacing w:val="1"/>
        </w:rPr>
        <w:t> </w:t>
      </w:r>
      <w:r>
        <w:rPr/>
        <w:t>brand loyalty and brand commitment with brand loyalty. However, the study found that brand</w:t>
      </w:r>
      <w:r>
        <w:rPr>
          <w:spacing w:val="1"/>
        </w:rPr>
        <w:t> </w:t>
      </w:r>
      <w:r>
        <w:rPr/>
        <w:t>trust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no significant</w:t>
      </w:r>
      <w:r>
        <w:rPr>
          <w:spacing w:val="4"/>
        </w:rPr>
        <w:t> </w:t>
      </w:r>
      <w:r>
        <w:rPr/>
        <w:t>influence on brand</w:t>
      </w:r>
      <w:r>
        <w:rPr>
          <w:spacing w:val="-5"/>
        </w:rPr>
        <w:t> </w:t>
      </w:r>
      <w:r>
        <w:rPr/>
        <w:t>loyalty.</w:t>
      </w:r>
    </w:p>
    <w:p>
      <w:pPr>
        <w:pStyle w:val="BodyText"/>
        <w:ind w:right="112" w:firstLine="719"/>
      </w:pPr>
      <w:r>
        <w:rPr/>
        <w:t>This study provides empirical knowledge for marketing managers in enhancing their</w:t>
      </w:r>
      <w:r>
        <w:rPr>
          <w:spacing w:val="1"/>
        </w:rPr>
        <w:t> </w:t>
      </w:r>
      <w:r>
        <w:rPr/>
        <w:t>marketing strategies. The manager should consider the target market weather the markets</w:t>
      </w:r>
      <w:r>
        <w:rPr>
          <w:spacing w:val="1"/>
        </w:rPr>
        <w:t> </w:t>
      </w:r>
      <w:r>
        <w:rPr/>
        <w:t>consist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consumers</w:t>
      </w:r>
      <w:r>
        <w:rPr>
          <w:spacing w:val="28"/>
        </w:rPr>
        <w:t> </w:t>
      </w:r>
      <w:r>
        <w:rPr/>
        <w:t>who</w:t>
      </w:r>
      <w:r>
        <w:rPr>
          <w:spacing w:val="30"/>
        </w:rPr>
        <w:t> </w:t>
      </w:r>
      <w:r>
        <w:rPr/>
        <w:t>are</w:t>
      </w:r>
      <w:r>
        <w:rPr>
          <w:spacing w:val="30"/>
        </w:rPr>
        <w:t> </w:t>
      </w:r>
      <w:r>
        <w:rPr/>
        <w:t>loyal</w:t>
      </w:r>
      <w:r>
        <w:rPr>
          <w:spacing w:val="31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brand</w:t>
      </w:r>
      <w:r>
        <w:rPr>
          <w:spacing w:val="30"/>
        </w:rPr>
        <w:t> </w:t>
      </w:r>
      <w:r>
        <w:rPr/>
        <w:t>or</w:t>
      </w:r>
      <w:r>
        <w:rPr>
          <w:spacing w:val="29"/>
        </w:rPr>
        <w:t> </w:t>
      </w:r>
      <w:r>
        <w:rPr/>
        <w:t>loyal</w:t>
      </w:r>
      <w:r>
        <w:rPr>
          <w:spacing w:val="31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price.</w:t>
      </w:r>
      <w:r>
        <w:rPr>
          <w:spacing w:val="30"/>
        </w:rPr>
        <w:t> </w:t>
      </w:r>
      <w:r>
        <w:rPr/>
        <w:t>Consumers</w:t>
      </w:r>
      <w:r>
        <w:rPr>
          <w:spacing w:val="28"/>
        </w:rPr>
        <w:t> </w:t>
      </w:r>
      <w:r>
        <w:rPr/>
        <w:t>who</w:t>
      </w:r>
      <w:r>
        <w:rPr>
          <w:spacing w:val="30"/>
        </w:rPr>
        <w:t> </w:t>
      </w:r>
      <w:r>
        <w:rPr/>
        <w:t>are</w:t>
      </w:r>
      <w:r>
        <w:rPr>
          <w:spacing w:val="-58"/>
        </w:rPr>
        <w:t> </w:t>
      </w:r>
      <w:r>
        <w:rPr/>
        <w:t>loyal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brand</w:t>
      </w:r>
      <w:r>
        <w:rPr>
          <w:spacing w:val="22"/>
        </w:rPr>
        <w:t> </w:t>
      </w:r>
      <w:r>
        <w:rPr/>
        <w:t>will</w:t>
      </w:r>
      <w:r>
        <w:rPr>
          <w:spacing w:val="23"/>
        </w:rPr>
        <w:t> </w:t>
      </w:r>
      <w:r>
        <w:rPr/>
        <w:t>prefer</w:t>
      </w:r>
      <w:r>
        <w:rPr>
          <w:spacing w:val="22"/>
        </w:rPr>
        <w:t> </w:t>
      </w:r>
      <w:r>
        <w:rPr/>
        <w:t>reputable</w:t>
      </w:r>
      <w:r>
        <w:rPr>
          <w:spacing w:val="23"/>
        </w:rPr>
        <w:t> </w:t>
      </w:r>
      <w:r>
        <w:rPr/>
        <w:t>product</w:t>
      </w:r>
      <w:r>
        <w:rPr>
          <w:spacing w:val="23"/>
        </w:rPr>
        <w:t> </w:t>
      </w:r>
      <w:r>
        <w:rPr/>
        <w:t>while</w:t>
      </w:r>
      <w:r>
        <w:rPr>
          <w:spacing w:val="23"/>
        </w:rPr>
        <w:t> </w:t>
      </w:r>
      <w:r>
        <w:rPr/>
        <w:t>consumers</w:t>
      </w:r>
      <w:r>
        <w:rPr>
          <w:spacing w:val="21"/>
        </w:rPr>
        <w:t> </w:t>
      </w:r>
      <w:r>
        <w:rPr/>
        <w:t>who</w:t>
      </w:r>
      <w:r>
        <w:rPr>
          <w:spacing w:val="22"/>
        </w:rPr>
        <w:t> </w:t>
      </w:r>
      <w:r>
        <w:rPr/>
        <w:t>are</w:t>
      </w:r>
      <w:r>
        <w:rPr>
          <w:spacing w:val="23"/>
        </w:rPr>
        <w:t> </w:t>
      </w:r>
      <w:r>
        <w:rPr/>
        <w:t>loyal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price</w:t>
      </w:r>
      <w:r>
        <w:rPr>
          <w:spacing w:val="1"/>
        </w:rPr>
        <w:t> </w:t>
      </w:r>
      <w:r>
        <w:rPr/>
        <w:t>will prefer affordable product. The recommendation for a future research should focus on</w:t>
      </w:r>
      <w:r>
        <w:rPr>
          <w:spacing w:val="1"/>
        </w:rPr>
        <w:t> </w:t>
      </w:r>
      <w:r>
        <w:rPr/>
        <w:t>primary data collection and unit analysis. The sample of the study should be more evenly</w:t>
      </w:r>
      <w:r>
        <w:rPr>
          <w:spacing w:val="1"/>
        </w:rPr>
        <w:t> </w:t>
      </w:r>
      <w:r>
        <w:rPr/>
        <w:t>distributed in each age category so it can generate population. The unit analysis can be</w:t>
      </w:r>
      <w:r>
        <w:rPr>
          <w:spacing w:val="1"/>
        </w:rPr>
        <w:t> </w:t>
      </w:r>
      <w:r>
        <w:rPr/>
        <w:t>replaced</w:t>
      </w:r>
      <w:r>
        <w:rPr>
          <w:spacing w:val="-1"/>
        </w:rPr>
        <w:t> </w:t>
      </w:r>
      <w:r>
        <w:rPr/>
        <w:t>by</w:t>
      </w:r>
      <w:r>
        <w:rPr>
          <w:spacing w:val="-8"/>
        </w:rPr>
        <w:t> </w:t>
      </w:r>
      <w:r>
        <w:rPr/>
        <w:t>other</w:t>
      </w:r>
      <w:r>
        <w:rPr>
          <w:spacing w:val="2"/>
        </w:rPr>
        <w:t> </w:t>
      </w:r>
      <w:r>
        <w:rPr/>
        <w:t>shopping</w:t>
      </w:r>
      <w:r>
        <w:rPr>
          <w:spacing w:val="-1"/>
        </w:rPr>
        <w:t> </w:t>
      </w:r>
      <w:r>
        <w:rPr/>
        <w:t>goods.</w:t>
      </w:r>
    </w:p>
    <w:p>
      <w:pPr>
        <w:pStyle w:val="BodyText"/>
        <w:spacing w:before="6"/>
        <w:ind w:left="0"/>
        <w:jc w:val="left"/>
        <w:rPr>
          <w:sz w:val="38"/>
        </w:rPr>
      </w:pPr>
    </w:p>
    <w:p>
      <w:pPr>
        <w:pStyle w:val="Heading1"/>
        <w:spacing w:line="240" w:lineRule="auto" w:before="1"/>
        <w:jc w:val="left"/>
      </w:pPr>
      <w:r>
        <w:rPr/>
        <w:t>References</w:t>
      </w:r>
    </w:p>
    <w:p>
      <w:pPr>
        <w:spacing w:before="176"/>
        <w:ind w:left="956" w:right="114" w:hanging="720"/>
        <w:jc w:val="both"/>
        <w:rPr>
          <w:sz w:val="24"/>
        </w:rPr>
      </w:pPr>
      <w:r>
        <w:rPr>
          <w:sz w:val="24"/>
        </w:rPr>
        <w:t>Aaker, D. A. (1994). Building a Brand: The Saturn Story. </w:t>
      </w:r>
      <w:r>
        <w:rPr>
          <w:i/>
          <w:sz w:val="24"/>
        </w:rPr>
        <w:t>California Management Review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36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114-133. </w:t>
      </w:r>
      <w:hyperlink r:id="rId9">
        <w:r>
          <w:rPr>
            <w:color w:val="0462C1"/>
            <w:sz w:val="24"/>
            <w:u w:val="single" w:color="0462C1"/>
          </w:rPr>
          <w:t>https://doi.org/10.2307/41165748</w:t>
        </w:r>
      </w:hyperlink>
    </w:p>
    <w:p>
      <w:pPr>
        <w:pStyle w:val="BodyText"/>
        <w:ind w:left="956" w:right="118" w:hanging="720"/>
      </w:pPr>
      <w:r>
        <w:rPr/>
        <w:t>Ahmed, Z., Rizwan, M., Ahmad, M., &amp; Haq, M. (2014). Effect of brand trust and customer</w:t>
      </w:r>
      <w:r>
        <w:rPr>
          <w:spacing w:val="1"/>
        </w:rPr>
        <w:t> </w:t>
      </w:r>
      <w:r>
        <w:rPr/>
        <w:t>satisfaction on brand loyalty in Bahawalpur.</w:t>
      </w:r>
      <w:r>
        <w:rPr>
          <w:spacing w:val="1"/>
        </w:rPr>
        <w:t> </w:t>
      </w:r>
      <w:r>
        <w:rPr>
          <w:i/>
        </w:rPr>
        <w:t>Journal of Sociological Research</w:t>
      </w:r>
      <w:r>
        <w:rPr/>
        <w:t>, </w:t>
      </w:r>
      <w:r>
        <w:rPr>
          <w:i/>
        </w:rPr>
        <w:t>5</w:t>
      </w:r>
      <w:r>
        <w:rPr/>
        <w:t>.</w:t>
      </w:r>
      <w:r>
        <w:rPr>
          <w:spacing w:val="1"/>
        </w:rPr>
        <w:t> </w:t>
      </w:r>
      <w:hyperlink r:id="rId10">
        <w:r>
          <w:rPr>
            <w:color w:val="0462C1"/>
            <w:u w:val="single" w:color="0462C1"/>
          </w:rPr>
          <w:t>https://doi.org/10.5296/jsr.v5i1.6568</w:t>
        </w:r>
      </w:hyperlink>
    </w:p>
    <w:p>
      <w:pPr>
        <w:pStyle w:val="BodyText"/>
        <w:tabs>
          <w:tab w:pos="2821" w:val="left" w:leader="none"/>
          <w:tab w:pos="4631" w:val="left" w:leader="none"/>
          <w:tab w:pos="5687" w:val="left" w:leader="none"/>
          <w:tab w:pos="7454" w:val="left" w:leader="none"/>
          <w:tab w:pos="8454" w:val="left" w:leader="none"/>
        </w:tabs>
        <w:ind w:left="956" w:right="114" w:hanging="720"/>
      </w:pPr>
      <w:r>
        <w:rPr/>
        <w:t>Anderson, R., &amp; Karunamoorthy, S. (2003). E-Satisfaction and E-Loyalty: A Contingency</w:t>
      </w:r>
      <w:r>
        <w:rPr>
          <w:spacing w:val="1"/>
        </w:rPr>
        <w:t> </w:t>
      </w:r>
      <w:r>
        <w:rPr/>
        <w:t>Framework.</w:t>
        <w:tab/>
      </w:r>
      <w:r>
        <w:rPr>
          <w:i/>
        </w:rPr>
        <w:t>Psychology</w:t>
        <w:tab/>
        <w:t>and</w:t>
        <w:tab/>
        <w:t>Marketing</w:t>
      </w:r>
      <w:r>
        <w:rPr/>
        <w:t>,</w:t>
        <w:tab/>
      </w:r>
      <w:r>
        <w:rPr>
          <w:i/>
        </w:rPr>
        <w:t>20</w:t>
      </w:r>
      <w:r>
        <w:rPr/>
        <w:t>,</w:t>
        <w:tab/>
      </w:r>
      <w:r>
        <w:rPr>
          <w:spacing w:val="-1"/>
        </w:rPr>
        <w:t>123-138.</w:t>
      </w:r>
    </w:p>
    <w:p>
      <w:pPr>
        <w:pStyle w:val="BodyText"/>
        <w:spacing w:before="1"/>
        <w:ind w:left="956"/>
        <w:jc w:val="left"/>
      </w:pPr>
      <w:hyperlink r:id="rId11">
        <w:r>
          <w:rPr>
            <w:color w:val="0462C1"/>
            <w:u w:val="single" w:color="0462C1"/>
          </w:rPr>
          <w:t>https://doi.org/10.1002/mar.10063</w:t>
        </w:r>
      </w:hyperlink>
    </w:p>
    <w:p>
      <w:pPr>
        <w:spacing w:before="0"/>
        <w:ind w:left="956" w:right="114" w:hanging="720"/>
        <w:jc w:val="both"/>
        <w:rPr>
          <w:sz w:val="24"/>
        </w:rPr>
      </w:pPr>
      <w:r>
        <w:rPr>
          <w:sz w:val="24"/>
        </w:rPr>
        <w:t>Chinomona, R. (2013). The Influence Of Brand Experience On Brand Satisfaction, Trust And</w:t>
      </w:r>
      <w:r>
        <w:rPr>
          <w:spacing w:val="1"/>
          <w:sz w:val="24"/>
        </w:rPr>
        <w:t> </w:t>
      </w:r>
      <w:r>
        <w:rPr>
          <w:sz w:val="24"/>
        </w:rPr>
        <w:t>Attachment In South Africa. </w:t>
      </w:r>
      <w:r>
        <w:rPr>
          <w:i/>
          <w:sz w:val="24"/>
        </w:rPr>
        <w:t>International Business &amp; Economics Research Journal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12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1303-1316. </w:t>
      </w:r>
      <w:hyperlink r:id="rId12">
        <w:r>
          <w:rPr>
            <w:color w:val="0462C1"/>
            <w:sz w:val="24"/>
            <w:u w:val="single" w:color="0462C1"/>
          </w:rPr>
          <w:t>https://doi.org/10.19030/iber.v12i10.8138</w:t>
        </w:r>
      </w:hyperlink>
    </w:p>
    <w:p>
      <w:pPr>
        <w:pStyle w:val="BodyText"/>
      </w:pPr>
      <w:r>
        <w:rPr/>
        <w:t>Elliott,</w:t>
      </w:r>
      <w:r>
        <w:rPr>
          <w:spacing w:val="14"/>
        </w:rPr>
        <w:t> </w:t>
      </w:r>
      <w:r>
        <w:rPr/>
        <w:t>R.,</w:t>
      </w:r>
      <w:r>
        <w:rPr>
          <w:spacing w:val="14"/>
        </w:rPr>
        <w:t> </w:t>
      </w:r>
      <w:r>
        <w:rPr/>
        <w:t>&amp;</w:t>
      </w:r>
      <w:r>
        <w:rPr>
          <w:spacing w:val="16"/>
        </w:rPr>
        <w:t> </w:t>
      </w:r>
      <w:r>
        <w:rPr/>
        <w:t>Yannopoulou,</w:t>
      </w:r>
      <w:r>
        <w:rPr>
          <w:spacing w:val="14"/>
        </w:rPr>
        <w:t> </w:t>
      </w:r>
      <w:r>
        <w:rPr/>
        <w:t>N.</w:t>
      </w:r>
      <w:r>
        <w:rPr>
          <w:spacing w:val="14"/>
        </w:rPr>
        <w:t> </w:t>
      </w:r>
      <w:r>
        <w:rPr/>
        <w:t>(2007).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nature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trust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brands:</w:t>
      </w:r>
      <w:r>
        <w:rPr>
          <w:spacing w:val="11"/>
        </w:rPr>
        <w:t> </w:t>
      </w:r>
      <w:r>
        <w:rPr/>
        <w:t>A</w:t>
      </w:r>
      <w:r>
        <w:rPr>
          <w:spacing w:val="14"/>
        </w:rPr>
        <w:t> </w:t>
      </w:r>
      <w:r>
        <w:rPr/>
        <w:t>psychosocial</w:t>
      </w:r>
      <w:r>
        <w:rPr>
          <w:spacing w:val="15"/>
        </w:rPr>
        <w:t> </w:t>
      </w:r>
      <w:r>
        <w:rPr/>
        <w:t>model.</w:t>
      </w:r>
    </w:p>
    <w:p>
      <w:pPr>
        <w:spacing w:before="0"/>
        <w:ind w:left="956" w:right="114" w:firstLine="0"/>
        <w:jc w:val="both"/>
        <w:rPr>
          <w:sz w:val="24"/>
        </w:rPr>
      </w:pPr>
      <w:r>
        <w:rPr>
          <w:i/>
          <w:sz w:val="24"/>
        </w:rPr>
        <w:t>European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41</w:t>
      </w:r>
      <w:r>
        <w:rPr>
          <w:sz w:val="24"/>
        </w:rPr>
        <w:t>.</w:t>
      </w:r>
      <w:r>
        <w:rPr>
          <w:spacing w:val="1"/>
          <w:sz w:val="24"/>
        </w:rPr>
        <w:t> </w:t>
      </w:r>
      <w:hyperlink r:id="rId13">
        <w:r>
          <w:rPr>
            <w:color w:val="0462C1"/>
            <w:sz w:val="24"/>
            <w:u w:val="single" w:color="0462C1"/>
          </w:rPr>
          <w:t>https://doi.org/10.1108/03090560710773309</w:t>
        </w:r>
      </w:hyperlink>
    </w:p>
    <w:p>
      <w:pPr>
        <w:spacing w:before="0"/>
        <w:ind w:left="956" w:right="116" w:hanging="720"/>
        <w:jc w:val="both"/>
        <w:rPr>
          <w:sz w:val="24"/>
        </w:rPr>
      </w:pPr>
      <w:r>
        <w:rPr>
          <w:sz w:val="24"/>
        </w:rPr>
        <w:t>Escalas, J., &amp;</w:t>
      </w:r>
      <w:r>
        <w:rPr>
          <w:spacing w:val="1"/>
          <w:sz w:val="24"/>
        </w:rPr>
        <w:t> </w:t>
      </w:r>
      <w:r>
        <w:rPr>
          <w:sz w:val="24"/>
        </w:rPr>
        <w:t>Bettman, J. (2003). You Are</w:t>
      </w:r>
      <w:r>
        <w:rPr>
          <w:spacing w:val="1"/>
          <w:sz w:val="24"/>
        </w:rPr>
        <w:t> </w:t>
      </w:r>
      <w:r>
        <w:rPr>
          <w:sz w:val="24"/>
        </w:rPr>
        <w:t>What They Eat: The</w:t>
      </w:r>
      <w:r>
        <w:rPr>
          <w:spacing w:val="1"/>
          <w:sz w:val="24"/>
        </w:rPr>
        <w:t> </w:t>
      </w:r>
      <w:r>
        <w:rPr>
          <w:sz w:val="24"/>
        </w:rPr>
        <w:t>Influence of Reference</w:t>
      </w:r>
      <w:r>
        <w:rPr>
          <w:spacing w:val="1"/>
          <w:sz w:val="24"/>
        </w:rPr>
        <w:t> </w:t>
      </w:r>
      <w:r>
        <w:rPr>
          <w:sz w:val="24"/>
        </w:rPr>
        <w:t>Groups on Consumers’ Connections to Brands. </w:t>
      </w:r>
      <w:r>
        <w:rPr>
          <w:i/>
          <w:sz w:val="24"/>
        </w:rPr>
        <w:t>Journal of Consumer Psychology - J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13</w:t>
      </w:r>
      <w:r>
        <w:rPr>
          <w:sz w:val="24"/>
        </w:rPr>
        <w:t>. </w:t>
      </w:r>
      <w:hyperlink r:id="rId14">
        <w:r>
          <w:rPr>
            <w:color w:val="0462C1"/>
            <w:sz w:val="24"/>
            <w:u w:val="single" w:color="0462C1"/>
          </w:rPr>
          <w:t>https://doi.org/10.1207/S15327663JCP1303_14</w:t>
        </w:r>
      </w:hyperlink>
    </w:p>
    <w:p>
      <w:pPr>
        <w:spacing w:before="1"/>
        <w:ind w:left="956" w:right="119" w:hanging="720"/>
        <w:jc w:val="both"/>
        <w:rPr>
          <w:sz w:val="24"/>
        </w:rPr>
      </w:pPr>
      <w:r>
        <w:rPr>
          <w:sz w:val="24"/>
        </w:rPr>
        <w:t>Fournier,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(1998).</w:t>
      </w:r>
      <w:r>
        <w:rPr>
          <w:spacing w:val="1"/>
          <w:sz w:val="24"/>
        </w:rPr>
        <w:t> </w:t>
      </w:r>
      <w:r>
        <w:rPr>
          <w:sz w:val="24"/>
        </w:rPr>
        <w:t>Consumers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Brands:</w:t>
      </w:r>
      <w:r>
        <w:rPr>
          <w:spacing w:val="1"/>
          <w:sz w:val="24"/>
        </w:rPr>
        <w:t> </w:t>
      </w: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Consumer</w:t>
      </w:r>
      <w:r>
        <w:rPr>
          <w:spacing w:val="15"/>
          <w:sz w:val="24"/>
        </w:rPr>
        <w:t> </w:t>
      </w:r>
      <w:r>
        <w:rPr>
          <w:sz w:val="24"/>
        </w:rPr>
        <w:t>Research.</w:t>
      </w:r>
      <w:r>
        <w:rPr>
          <w:spacing w:val="19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CONSUMER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16"/>
          <w:sz w:val="24"/>
        </w:rPr>
        <w:t> </w:t>
      </w:r>
      <w:r>
        <w:rPr>
          <w:i/>
          <w:sz w:val="24"/>
        </w:rPr>
        <w:t>24</w:t>
      </w:r>
      <w:r>
        <w:rPr>
          <w:sz w:val="24"/>
        </w:rPr>
        <w:t>,</w:t>
      </w:r>
      <w:r>
        <w:rPr>
          <w:spacing w:val="15"/>
          <w:sz w:val="24"/>
        </w:rPr>
        <w:t> </w:t>
      </w:r>
      <w:r>
        <w:rPr>
          <w:sz w:val="24"/>
        </w:rPr>
        <w:t>343-373.</w:t>
      </w:r>
    </w:p>
    <w:p>
      <w:pPr>
        <w:pStyle w:val="BodyText"/>
        <w:ind w:left="956"/>
        <w:jc w:val="left"/>
      </w:pPr>
      <w:hyperlink r:id="rId15">
        <w:r>
          <w:rPr>
            <w:color w:val="0462C1"/>
            <w:u w:val="single" w:color="0462C1"/>
          </w:rPr>
          <w:t>https://doi.org/10.1086/209515</w:t>
        </w:r>
      </w:hyperlink>
    </w:p>
    <w:p>
      <w:pPr>
        <w:pStyle w:val="BodyText"/>
        <w:ind w:left="956" w:right="118" w:hanging="720"/>
      </w:pPr>
      <w:r>
        <w:rPr/>
        <w:t>Ha, H.-Y., &amp; Perks, H. (2005). Effects of consumer perceptions of brand experience on the</w:t>
      </w:r>
      <w:r>
        <w:rPr>
          <w:spacing w:val="1"/>
        </w:rPr>
        <w:t> </w:t>
      </w:r>
      <w:r>
        <w:rPr/>
        <w:t>web: Brand familiarity, satisfaction and brand trust. </w:t>
      </w:r>
      <w:r>
        <w:rPr>
          <w:i/>
        </w:rPr>
        <w:t>Journal of Consumer Behaviour</w:t>
      </w:r>
      <w:r>
        <w:rPr/>
        <w:t>,</w:t>
      </w:r>
      <w:r>
        <w:rPr>
          <w:spacing w:val="1"/>
        </w:rPr>
        <w:t> </w:t>
      </w:r>
      <w:r>
        <w:rPr>
          <w:i/>
        </w:rPr>
        <w:t>4</w:t>
      </w:r>
      <w:r>
        <w:rPr/>
        <w:t>,</w:t>
      </w:r>
      <w:r>
        <w:rPr>
          <w:spacing w:val="-1"/>
        </w:rPr>
        <w:t> </w:t>
      </w:r>
      <w:r>
        <w:rPr/>
        <w:t>438-452. </w:t>
      </w:r>
      <w:hyperlink r:id="rId16">
        <w:r>
          <w:rPr>
            <w:color w:val="0462C1"/>
            <w:u w:val="single" w:color="0462C1"/>
          </w:rPr>
          <w:t>https://doi.org/10.1002/cb.29</w:t>
        </w:r>
      </w:hyperlink>
    </w:p>
    <w:p>
      <w:pPr>
        <w:spacing w:before="0"/>
        <w:ind w:left="956" w:right="122" w:hanging="720"/>
        <w:jc w:val="both"/>
        <w:rPr>
          <w:sz w:val="24"/>
        </w:rPr>
      </w:pPr>
      <w:r>
        <w:rPr>
          <w:sz w:val="24"/>
        </w:rPr>
        <w:t>Hair, J., Hult, G. T. M., Ringle, C., &amp; Sarstedt, M. (2014). </w:t>
      </w:r>
      <w:r>
        <w:rPr>
          <w:i/>
          <w:sz w:val="24"/>
        </w:rPr>
        <w:t>A Primer on Partial Least Squares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Structural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Equation Modeling</w:t>
      </w:r>
      <w:r>
        <w:rPr>
          <w:sz w:val="24"/>
        </w:rPr>
        <w:t>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98" w:top="1320" w:bottom="1180" w:left="1180" w:right="1300"/>
        </w:sectPr>
      </w:pPr>
    </w:p>
    <w:p>
      <w:pPr>
        <w:pStyle w:val="BodyText"/>
        <w:spacing w:before="72"/>
      </w:pPr>
      <w:r>
        <w:rPr/>
        <w:t>Holland,</w:t>
      </w:r>
      <w:r>
        <w:rPr>
          <w:spacing w:val="51"/>
        </w:rPr>
        <w:t> </w:t>
      </w:r>
      <w:r>
        <w:rPr/>
        <w:t>J.,</w:t>
      </w:r>
      <w:r>
        <w:rPr>
          <w:spacing w:val="48"/>
        </w:rPr>
        <w:t> </w:t>
      </w:r>
      <w:r>
        <w:rPr/>
        <w:t>&amp;</w:t>
      </w:r>
      <w:r>
        <w:rPr>
          <w:spacing w:val="52"/>
        </w:rPr>
        <w:t> </w:t>
      </w:r>
      <w:r>
        <w:rPr/>
        <w:t>Baker,</w:t>
      </w:r>
      <w:r>
        <w:rPr>
          <w:spacing w:val="52"/>
        </w:rPr>
        <w:t> </w:t>
      </w:r>
      <w:r>
        <w:rPr/>
        <w:t>S.</w:t>
      </w:r>
      <w:r>
        <w:rPr>
          <w:spacing w:val="51"/>
        </w:rPr>
        <w:t> </w:t>
      </w:r>
      <w:r>
        <w:rPr/>
        <w:t>(2001).</w:t>
      </w:r>
      <w:r>
        <w:rPr>
          <w:spacing w:val="48"/>
        </w:rPr>
        <w:t> </w:t>
      </w:r>
      <w:r>
        <w:rPr/>
        <w:t>Customer</w:t>
      </w:r>
      <w:r>
        <w:rPr>
          <w:spacing w:val="51"/>
        </w:rPr>
        <w:t> </w:t>
      </w:r>
      <w:r>
        <w:rPr/>
        <w:t>Participation</w:t>
      </w:r>
      <w:r>
        <w:rPr>
          <w:spacing w:val="52"/>
        </w:rPr>
        <w:t> </w:t>
      </w:r>
      <w:r>
        <w:rPr/>
        <w:t>in</w:t>
      </w:r>
      <w:r>
        <w:rPr>
          <w:spacing w:val="47"/>
        </w:rPr>
        <w:t> </w:t>
      </w:r>
      <w:r>
        <w:rPr/>
        <w:t>Creating</w:t>
      </w:r>
      <w:r>
        <w:rPr>
          <w:spacing w:val="48"/>
        </w:rPr>
        <w:t> </w:t>
      </w:r>
      <w:r>
        <w:rPr/>
        <w:t>Site</w:t>
      </w:r>
      <w:r>
        <w:rPr>
          <w:spacing w:val="49"/>
        </w:rPr>
        <w:t> </w:t>
      </w:r>
      <w:r>
        <w:rPr/>
        <w:t>Brand</w:t>
      </w:r>
      <w:r>
        <w:rPr>
          <w:spacing w:val="56"/>
        </w:rPr>
        <w:t> </w:t>
      </w:r>
      <w:r>
        <w:rPr/>
        <w:t>Loyalty.</w:t>
      </w:r>
    </w:p>
    <w:p>
      <w:pPr>
        <w:tabs>
          <w:tab w:pos="2631" w:val="left" w:leader="none"/>
          <w:tab w:pos="3587" w:val="left" w:leader="none"/>
          <w:tab w:pos="5705" w:val="left" w:leader="none"/>
          <w:tab w:pos="7754" w:val="left" w:leader="none"/>
        </w:tabs>
        <w:spacing w:before="0"/>
        <w:ind w:left="956" w:right="0" w:firstLine="0"/>
        <w:jc w:val="both"/>
        <w:rPr>
          <w:sz w:val="24"/>
        </w:rPr>
      </w:pPr>
      <w:r>
        <w:rPr>
          <w:i/>
          <w:sz w:val="24"/>
        </w:rPr>
        <w:t>JOURNAL</w:t>
        <w:tab/>
        <w:t>OF</w:t>
        <w:tab/>
        <w:t>INTERACTIVE</w:t>
        <w:tab/>
        <w:t>MARKETING</w:t>
      </w:r>
      <w:r>
        <w:rPr>
          <w:sz w:val="24"/>
        </w:rPr>
        <w:t>,</w:t>
        <w:tab/>
      </w:r>
      <w:r>
        <w:rPr>
          <w:i/>
          <w:sz w:val="24"/>
        </w:rPr>
        <w:t>15</w:t>
      </w:r>
      <w:r>
        <w:rPr>
          <w:sz w:val="24"/>
        </w:rPr>
        <w:t>,        </w:t>
      </w:r>
      <w:r>
        <w:rPr>
          <w:spacing w:val="36"/>
          <w:sz w:val="24"/>
        </w:rPr>
        <w:t> </w:t>
      </w:r>
      <w:r>
        <w:rPr>
          <w:sz w:val="24"/>
        </w:rPr>
        <w:t>34-45.</w:t>
      </w:r>
    </w:p>
    <w:p>
      <w:pPr>
        <w:pStyle w:val="BodyText"/>
        <w:ind w:left="956"/>
        <w:jc w:val="left"/>
      </w:pPr>
      <w:hyperlink r:id="rId17">
        <w:r>
          <w:rPr>
            <w:color w:val="0462C1"/>
            <w:u w:val="single" w:color="0462C1"/>
          </w:rPr>
          <w:t>https://doi.org/10.1002/dir.1021</w:t>
        </w:r>
      </w:hyperlink>
    </w:p>
    <w:p>
      <w:pPr>
        <w:pStyle w:val="BodyText"/>
        <w:ind w:left="956" w:right="114" w:hanging="720"/>
      </w:pPr>
      <w:r>
        <w:rPr/>
        <w:t>Iglesias, O., Singh, J., &amp; batista-foguet, j. m. (2011). The role of brand experience and</w:t>
      </w:r>
      <w:r>
        <w:rPr>
          <w:spacing w:val="1"/>
        </w:rPr>
        <w:t> </w:t>
      </w:r>
      <w:r>
        <w:rPr/>
        <w:t>affective commitment in determining brand loyalty.</w:t>
      </w:r>
      <w:r>
        <w:rPr>
          <w:spacing w:val="60"/>
        </w:rPr>
        <w:t> </w:t>
      </w:r>
      <w:r>
        <w:rPr>
          <w:i/>
        </w:rPr>
        <w:t>Journal of Brand Management</w:t>
      </w:r>
      <w:r>
        <w:rPr/>
        <w:t>,</w:t>
      </w:r>
      <w:r>
        <w:rPr>
          <w:spacing w:val="1"/>
        </w:rPr>
        <w:t> </w:t>
      </w:r>
      <w:r>
        <w:rPr>
          <w:i/>
        </w:rPr>
        <w:t>18</w:t>
      </w:r>
      <w:r>
        <w:rPr/>
        <w:t>.</w:t>
      </w:r>
      <w:r>
        <w:rPr>
          <w:spacing w:val="-1"/>
        </w:rPr>
        <w:t> </w:t>
      </w:r>
      <w:hyperlink r:id="rId18">
        <w:r>
          <w:rPr>
            <w:color w:val="0462C1"/>
            <w:u w:val="single" w:color="0462C1"/>
          </w:rPr>
          <w:t>https://doi.org/10.1057/bm.2010.58</w:t>
        </w:r>
      </w:hyperlink>
    </w:p>
    <w:p>
      <w:pPr>
        <w:pStyle w:val="BodyText"/>
      </w:pPr>
      <w:r>
        <w:rPr/>
        <w:t>Johnson,</w:t>
      </w:r>
      <w:r>
        <w:rPr>
          <w:spacing w:val="5"/>
        </w:rPr>
        <w:t> </w:t>
      </w:r>
      <w:r>
        <w:rPr/>
        <w:t>M.,</w:t>
      </w:r>
      <w:r>
        <w:rPr>
          <w:spacing w:val="64"/>
        </w:rPr>
        <w:t> </w:t>
      </w:r>
      <w:r>
        <w:rPr/>
        <w:t>Herrmann,</w:t>
      </w:r>
      <w:r>
        <w:rPr>
          <w:spacing w:val="68"/>
        </w:rPr>
        <w:t> </w:t>
      </w:r>
      <w:r>
        <w:rPr/>
        <w:t>A.,</w:t>
      </w:r>
      <w:r>
        <w:rPr>
          <w:spacing w:val="64"/>
        </w:rPr>
        <w:t> </w:t>
      </w:r>
      <w:r>
        <w:rPr/>
        <w:t>&amp;</w:t>
      </w:r>
      <w:r>
        <w:rPr>
          <w:spacing w:val="69"/>
        </w:rPr>
        <w:t> </w:t>
      </w:r>
      <w:r>
        <w:rPr/>
        <w:t>Huber,</w:t>
      </w:r>
      <w:r>
        <w:rPr>
          <w:spacing w:val="68"/>
        </w:rPr>
        <w:t> </w:t>
      </w:r>
      <w:r>
        <w:rPr/>
        <w:t>F.</w:t>
      </w:r>
      <w:r>
        <w:rPr>
          <w:spacing w:val="64"/>
        </w:rPr>
        <w:t> </w:t>
      </w:r>
      <w:r>
        <w:rPr/>
        <w:t>(2006).</w:t>
      </w:r>
      <w:r>
        <w:rPr>
          <w:spacing w:val="64"/>
        </w:rPr>
        <w:t> </w:t>
      </w:r>
      <w:r>
        <w:rPr/>
        <w:t>The</w:t>
      </w:r>
      <w:r>
        <w:rPr>
          <w:spacing w:val="65"/>
        </w:rPr>
        <w:t> </w:t>
      </w:r>
      <w:r>
        <w:rPr/>
        <w:t>Evolution</w:t>
      </w:r>
      <w:r>
        <w:rPr>
          <w:spacing w:val="64"/>
        </w:rPr>
        <w:t> </w:t>
      </w:r>
      <w:r>
        <w:rPr/>
        <w:t>of</w:t>
      </w:r>
      <w:r>
        <w:rPr>
          <w:spacing w:val="68"/>
        </w:rPr>
        <w:t> </w:t>
      </w:r>
      <w:r>
        <w:rPr/>
        <w:t>Loyalty</w:t>
      </w:r>
      <w:r>
        <w:rPr>
          <w:spacing w:val="60"/>
        </w:rPr>
        <w:t> </w:t>
      </w:r>
      <w:r>
        <w:rPr/>
        <w:t>Intentions.</w:t>
      </w:r>
    </w:p>
    <w:p>
      <w:pPr>
        <w:spacing w:before="1"/>
        <w:ind w:left="956" w:right="0" w:firstLine="0"/>
        <w:jc w:val="both"/>
        <w:rPr>
          <w:sz w:val="24"/>
        </w:rPr>
      </w:pPr>
      <w:r>
        <w:rPr>
          <w:i/>
          <w:sz w:val="24"/>
        </w:rPr>
        <w:t>University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St.Gallen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i/>
          <w:sz w:val="24"/>
        </w:rPr>
        <w:t>70</w:t>
      </w:r>
      <w:r>
        <w:rPr>
          <w:sz w:val="24"/>
        </w:rPr>
        <w:t>.</w:t>
      </w:r>
      <w:r>
        <w:rPr>
          <w:spacing w:val="-5"/>
          <w:sz w:val="24"/>
        </w:rPr>
        <w:t> </w:t>
      </w:r>
      <w:hyperlink r:id="rId19">
        <w:r>
          <w:rPr>
            <w:color w:val="0462C1"/>
            <w:sz w:val="24"/>
            <w:u w:val="single" w:color="0462C1"/>
          </w:rPr>
          <w:t>https://doi.org/10.1509/jmkg.70.2.122</w:t>
        </w:r>
      </w:hyperlink>
    </w:p>
    <w:p>
      <w:pPr>
        <w:pStyle w:val="BodyText"/>
        <w:ind w:left="956" w:right="114" w:hanging="720"/>
      </w:pPr>
      <w:r>
        <w:rPr/>
        <w:t>Keng, C.-J., Tran, V.-D., &amp; Thi, T. (2013). Relationships among Brand Experience, Brand</w:t>
      </w:r>
      <w:r>
        <w:rPr>
          <w:spacing w:val="1"/>
        </w:rPr>
        <w:t> </w:t>
      </w:r>
      <w:r>
        <w:rPr/>
        <w:t>Personality, and Customer Experiential Value. </w:t>
      </w:r>
      <w:r>
        <w:rPr>
          <w:i/>
        </w:rPr>
        <w:t>Contemporary Management Research</w:t>
      </w:r>
      <w:r>
        <w:rPr/>
        <w:t>,</w:t>
      </w:r>
      <w:r>
        <w:rPr>
          <w:spacing w:val="1"/>
        </w:rPr>
        <w:t> </w:t>
      </w:r>
      <w:r>
        <w:rPr>
          <w:i/>
        </w:rPr>
        <w:t>9</w:t>
      </w:r>
      <w:r>
        <w:rPr/>
        <w:t>,</w:t>
      </w:r>
      <w:r>
        <w:rPr>
          <w:spacing w:val="-1"/>
        </w:rPr>
        <w:t> </w:t>
      </w:r>
      <w:r>
        <w:rPr/>
        <w:t>247-262. </w:t>
      </w:r>
      <w:hyperlink r:id="rId20">
        <w:r>
          <w:rPr>
            <w:color w:val="0462C1"/>
            <w:u w:val="single" w:color="0462C1"/>
          </w:rPr>
          <w:t>https://doi.org/10.7903/cmr.11086</w:t>
        </w:r>
      </w:hyperlink>
    </w:p>
    <w:p>
      <w:pPr>
        <w:spacing w:before="0"/>
        <w:ind w:left="956" w:right="115" w:hanging="720"/>
        <w:jc w:val="both"/>
        <w:rPr>
          <w:sz w:val="24"/>
        </w:rPr>
      </w:pPr>
      <w:r>
        <w:rPr>
          <w:sz w:val="24"/>
        </w:rPr>
        <w:t>Khan,</w:t>
      </w:r>
      <w:r>
        <w:rPr>
          <w:spacing w:val="1"/>
          <w:sz w:val="24"/>
        </w:rPr>
        <w:t> </w:t>
      </w:r>
      <w:r>
        <w:rPr>
          <w:sz w:val="24"/>
        </w:rPr>
        <w:t>I.,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Rahman,</w:t>
      </w:r>
      <w:r>
        <w:rPr>
          <w:spacing w:val="1"/>
          <w:sz w:val="24"/>
        </w:rPr>
        <w:t> </w:t>
      </w:r>
      <w:r>
        <w:rPr>
          <w:sz w:val="24"/>
        </w:rPr>
        <w:t>Z.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Brand</w:t>
      </w:r>
      <w:r>
        <w:rPr>
          <w:spacing w:val="1"/>
          <w:sz w:val="24"/>
        </w:rPr>
        <w:t> </w:t>
      </w:r>
      <w:r>
        <w:rPr>
          <w:sz w:val="24"/>
        </w:rPr>
        <w:t>experience anatomy in</w:t>
      </w:r>
      <w:r>
        <w:rPr>
          <w:spacing w:val="1"/>
          <w:sz w:val="24"/>
        </w:rPr>
        <w:t> </w:t>
      </w:r>
      <w:r>
        <w:rPr>
          <w:sz w:val="24"/>
        </w:rPr>
        <w:t>retailing: An</w:t>
      </w:r>
      <w:r>
        <w:rPr>
          <w:spacing w:val="1"/>
          <w:sz w:val="24"/>
        </w:rPr>
        <w:t> </w:t>
      </w:r>
      <w:r>
        <w:rPr>
          <w:sz w:val="24"/>
        </w:rPr>
        <w:t>interpretive</w:t>
      </w:r>
      <w:r>
        <w:rPr>
          <w:spacing w:val="1"/>
          <w:sz w:val="24"/>
        </w:rPr>
        <w:t> </w:t>
      </w:r>
      <w:r>
        <w:rPr>
          <w:sz w:val="24"/>
        </w:rPr>
        <w:t>structural modeling approach. </w:t>
      </w:r>
      <w:r>
        <w:rPr>
          <w:i/>
          <w:sz w:val="24"/>
        </w:rPr>
        <w:t>Journal of Retailing and Consumer Services</w:t>
      </w:r>
      <w:r>
        <w:rPr>
          <w:sz w:val="24"/>
        </w:rPr>
        <w:t>, </w:t>
      </w:r>
      <w:r>
        <w:rPr>
          <w:i/>
          <w:sz w:val="24"/>
        </w:rPr>
        <w:t>24</w:t>
      </w:r>
      <w:r>
        <w:rPr>
          <w:sz w:val="24"/>
        </w:rPr>
        <w:t>, 60-69.</w:t>
      </w:r>
      <w:r>
        <w:rPr>
          <w:spacing w:val="1"/>
          <w:sz w:val="24"/>
        </w:rPr>
        <w:t> </w:t>
      </w:r>
      <w:hyperlink r:id="rId21">
        <w:r>
          <w:rPr>
            <w:color w:val="0462C1"/>
            <w:sz w:val="24"/>
            <w:u w:val="single" w:color="0462C1"/>
          </w:rPr>
          <w:t>https://doi.org/10.1016/j.jretconser.2015.02.003</w:t>
        </w:r>
      </w:hyperlink>
    </w:p>
    <w:p>
      <w:pPr>
        <w:pStyle w:val="BodyText"/>
      </w:pPr>
      <w:r>
        <w:rPr/>
        <w:t>Kocak</w:t>
      </w:r>
      <w:r>
        <w:rPr>
          <w:spacing w:val="16"/>
        </w:rPr>
        <w:t> </w:t>
      </w:r>
      <w:r>
        <w:rPr/>
        <w:t>Alan,</w:t>
      </w:r>
      <w:r>
        <w:rPr>
          <w:spacing w:val="16"/>
        </w:rPr>
        <w:t> </w:t>
      </w:r>
      <w:r>
        <w:rPr/>
        <w:t>A.,</w:t>
      </w:r>
      <w:r>
        <w:rPr>
          <w:spacing w:val="12"/>
        </w:rPr>
        <w:t> </w:t>
      </w:r>
      <w:r>
        <w:rPr/>
        <w:t>&amp;</w:t>
      </w:r>
      <w:r>
        <w:rPr>
          <w:spacing w:val="17"/>
        </w:rPr>
        <w:t> </w:t>
      </w:r>
      <w:r>
        <w:rPr/>
        <w:t>Kabadayi,</w:t>
      </w:r>
      <w:r>
        <w:rPr>
          <w:spacing w:val="12"/>
        </w:rPr>
        <w:t> </w:t>
      </w:r>
      <w:r>
        <w:rPr/>
        <w:t>E.</w:t>
      </w:r>
      <w:r>
        <w:rPr>
          <w:spacing w:val="12"/>
        </w:rPr>
        <w:t> </w:t>
      </w:r>
      <w:r>
        <w:rPr/>
        <w:t>(2012).</w:t>
      </w:r>
      <w:r>
        <w:rPr>
          <w:spacing w:val="16"/>
        </w:rPr>
        <w:t> </w:t>
      </w:r>
      <w:r>
        <w:rPr/>
        <w:t>BRAND</w:t>
      </w:r>
      <w:r>
        <w:rPr>
          <w:spacing w:val="11"/>
        </w:rPr>
        <w:t> </w:t>
      </w:r>
      <w:r>
        <w:rPr/>
        <w:t>TRUST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BRAND</w:t>
      </w:r>
      <w:r>
        <w:rPr>
          <w:spacing w:val="16"/>
        </w:rPr>
        <w:t> </w:t>
      </w:r>
      <w:r>
        <w:rPr/>
        <w:t>AFFECT:</w:t>
      </w:r>
      <w:r>
        <w:rPr>
          <w:spacing w:val="10"/>
        </w:rPr>
        <w:t> </w:t>
      </w:r>
      <w:r>
        <w:rPr/>
        <w:t>THEIR</w:t>
      </w:r>
    </w:p>
    <w:p>
      <w:pPr>
        <w:spacing w:before="0"/>
        <w:ind w:left="956" w:right="116" w:firstLine="0"/>
        <w:jc w:val="both"/>
        <w:rPr>
          <w:sz w:val="24"/>
        </w:rPr>
      </w:pPr>
      <w:r>
        <w:rPr>
          <w:sz w:val="24"/>
        </w:rPr>
        <w:t>STRATEGIC IMPORTANCE ON BRAND LOYALTY. </w:t>
      </w:r>
      <w:r>
        <w:rPr>
          <w:i/>
          <w:sz w:val="24"/>
        </w:rPr>
        <w:t>Journal of Global Strategic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1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80-80. </w:t>
      </w:r>
      <w:hyperlink r:id="rId22">
        <w:r>
          <w:rPr>
            <w:color w:val="0462C1"/>
            <w:sz w:val="24"/>
            <w:u w:val="single" w:color="0462C1"/>
          </w:rPr>
          <w:t>https://doi.org/10.20460/JGSM.2012615788</w:t>
        </w:r>
      </w:hyperlink>
    </w:p>
    <w:p>
      <w:pPr>
        <w:pStyle w:val="BodyText"/>
        <w:ind w:left="956" w:right="118" w:hanging="720"/>
      </w:pPr>
      <w:r>
        <w:rPr/>
        <w:t>Lariviere, B., Keiningham, T., Cooil, B., Aksoy, L., &amp; Malthouse, E. (2014). A longitudinal</w:t>
      </w:r>
      <w:r>
        <w:rPr>
          <w:spacing w:val="1"/>
        </w:rPr>
        <w:t> </w:t>
      </w:r>
      <w:r>
        <w:rPr/>
        <w:t>examination of customer commitment and loyalty.</w:t>
      </w:r>
      <w:r>
        <w:rPr>
          <w:spacing w:val="60"/>
        </w:rPr>
        <w:t> </w:t>
      </w:r>
      <w:r>
        <w:rPr>
          <w:i/>
        </w:rPr>
        <w:t>Journal of Service Management</w:t>
      </w:r>
      <w:r>
        <w:rPr/>
        <w:t>,</w:t>
      </w:r>
      <w:r>
        <w:rPr>
          <w:spacing w:val="1"/>
        </w:rPr>
        <w:t> </w:t>
      </w:r>
      <w:r>
        <w:rPr>
          <w:i/>
        </w:rPr>
        <w:t>25</w:t>
      </w:r>
      <w:r>
        <w:rPr/>
        <w:t>.</w:t>
      </w:r>
      <w:r>
        <w:rPr>
          <w:spacing w:val="-1"/>
        </w:rPr>
        <w:t> </w:t>
      </w:r>
      <w:hyperlink r:id="rId23">
        <w:r>
          <w:rPr>
            <w:color w:val="0462C1"/>
            <w:u w:val="single" w:color="0462C1"/>
          </w:rPr>
          <w:t>https://doi.org/10.1108/JOSM-01-2013-0025</w:t>
        </w:r>
      </w:hyperlink>
    </w:p>
    <w:p>
      <w:pPr>
        <w:spacing w:before="1"/>
        <w:ind w:left="956" w:right="122" w:hanging="720"/>
        <w:jc w:val="both"/>
        <w:rPr>
          <w:sz w:val="24"/>
        </w:rPr>
      </w:pPr>
      <w:r>
        <w:rPr>
          <w:sz w:val="24"/>
        </w:rPr>
        <w:t>Leninkumar, V. (2017). The Relationship between Customer Satisfaction and Customer Trust</w:t>
      </w:r>
      <w:r>
        <w:rPr>
          <w:spacing w:val="1"/>
          <w:sz w:val="24"/>
        </w:rPr>
        <w:t> </w:t>
      </w:r>
      <w:r>
        <w:rPr>
          <w:sz w:val="24"/>
        </w:rPr>
        <w:t>on Customer Loyalty. </w:t>
      </w:r>
      <w:r>
        <w:rPr>
          <w:i/>
          <w:sz w:val="24"/>
        </w:rPr>
        <w:t>International Journal of Academic Research in Business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7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450-465.</w:t>
      </w:r>
      <w:r>
        <w:rPr>
          <w:spacing w:val="-1"/>
          <w:sz w:val="24"/>
        </w:rPr>
        <w:t> </w:t>
      </w:r>
      <w:hyperlink r:id="rId24">
        <w:r>
          <w:rPr>
            <w:color w:val="0462C1"/>
            <w:sz w:val="24"/>
            <w:u w:val="single" w:color="0462C1"/>
          </w:rPr>
          <w:t>https://doi.org/10.6007/IJARBSS/v7-i4/2821</w:t>
        </w:r>
      </w:hyperlink>
    </w:p>
    <w:p>
      <w:pPr>
        <w:pStyle w:val="BodyText"/>
        <w:ind w:left="956" w:right="115" w:hanging="720"/>
      </w:pPr>
      <w:r>
        <w:rPr/>
        <w:t>Liu, F., Li, J., Mizerski, D., &amp; Soh, H. (2012). Self-congruity, brand attitude, and brand</w:t>
      </w:r>
      <w:r>
        <w:rPr>
          <w:spacing w:val="1"/>
        </w:rPr>
        <w:t> </w:t>
      </w:r>
      <w:r>
        <w:rPr/>
        <w:t>loyalty: A study on luxury brands.</w:t>
      </w:r>
      <w:r>
        <w:rPr>
          <w:spacing w:val="1"/>
        </w:rPr>
        <w:t> </w:t>
      </w:r>
      <w:r>
        <w:rPr>
          <w:i/>
        </w:rPr>
        <w:t>European Journal of Marketing</w:t>
      </w:r>
      <w:r>
        <w:rPr/>
        <w:t>, </w:t>
      </w:r>
      <w:r>
        <w:rPr>
          <w:i/>
        </w:rPr>
        <w:t>46</w:t>
      </w:r>
      <w:r>
        <w:rPr/>
        <w:t>, 922-937.</w:t>
      </w:r>
      <w:r>
        <w:rPr>
          <w:spacing w:val="1"/>
        </w:rPr>
        <w:t> </w:t>
      </w:r>
      <w:hyperlink r:id="rId25">
        <w:r>
          <w:rPr>
            <w:color w:val="0462C1"/>
            <w:u w:val="single" w:color="0462C1"/>
          </w:rPr>
          <w:t>https://doi.org/10.1108/03090561211230098</w:t>
        </w:r>
      </w:hyperlink>
    </w:p>
    <w:p>
      <w:pPr>
        <w:pStyle w:val="BodyText"/>
        <w:ind w:left="956" w:right="119" w:hanging="720"/>
      </w:pPr>
      <w:r>
        <w:rPr/>
        <w:t>Moorman, C., Zaltman, G., &amp; Deshpande, R. (1992). Relationships Between Providers and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Research: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Dynamics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Between</w:t>
      </w:r>
      <w:r>
        <w:rPr>
          <w:spacing w:val="1"/>
        </w:rPr>
        <w:t> </w:t>
      </w:r>
      <w:r>
        <w:rPr/>
        <w:t>Organizations.</w:t>
      </w:r>
      <w:r>
        <w:rPr>
          <w:spacing w:val="4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Marketing</w:t>
      </w:r>
      <w:r>
        <w:rPr>
          <w:i/>
          <w:spacing w:val="57"/>
        </w:rPr>
        <w:t> </w:t>
      </w:r>
      <w:r>
        <w:rPr>
          <w:i/>
        </w:rPr>
        <w:t>Research</w:t>
      </w:r>
      <w:r>
        <w:rPr/>
        <w:t>,</w:t>
      </w:r>
      <w:r>
        <w:rPr>
          <w:spacing w:val="2"/>
        </w:rPr>
        <w:t> </w:t>
      </w:r>
      <w:r>
        <w:rPr>
          <w:i/>
        </w:rPr>
        <w:t>29</w:t>
      </w:r>
      <w:r>
        <w:rPr/>
        <w:t>,</w:t>
      </w:r>
      <w:r>
        <w:rPr>
          <w:spacing w:val="57"/>
        </w:rPr>
        <w:t> </w:t>
      </w:r>
      <w:r>
        <w:rPr/>
        <w:t>314-328.</w:t>
      </w:r>
    </w:p>
    <w:p>
      <w:pPr>
        <w:pStyle w:val="BodyText"/>
        <w:ind w:left="956"/>
        <w:jc w:val="left"/>
      </w:pPr>
      <w:hyperlink r:id="rId26">
        <w:r>
          <w:rPr>
            <w:color w:val="0462C1"/>
            <w:u w:val="single" w:color="0462C1"/>
          </w:rPr>
          <w:t>https://doi.org/10.2307/3172742</w:t>
        </w:r>
      </w:hyperlink>
    </w:p>
    <w:p>
      <w:pPr>
        <w:pStyle w:val="BodyText"/>
        <w:jc w:val="left"/>
      </w:pPr>
      <w:r>
        <w:rPr/>
        <w:t>Morgan,</w:t>
      </w:r>
      <w:r>
        <w:rPr>
          <w:spacing w:val="25"/>
        </w:rPr>
        <w:t> </w:t>
      </w:r>
      <w:r>
        <w:rPr/>
        <w:t>R.,</w:t>
      </w:r>
      <w:r>
        <w:rPr>
          <w:spacing w:val="25"/>
        </w:rPr>
        <w:t> </w:t>
      </w:r>
      <w:r>
        <w:rPr/>
        <w:t>&amp;</w:t>
      </w:r>
      <w:r>
        <w:rPr>
          <w:spacing w:val="27"/>
        </w:rPr>
        <w:t> </w:t>
      </w:r>
      <w:r>
        <w:rPr/>
        <w:t>Hunt,</w:t>
      </w:r>
      <w:r>
        <w:rPr>
          <w:spacing w:val="25"/>
        </w:rPr>
        <w:t> </w:t>
      </w:r>
      <w:r>
        <w:rPr/>
        <w:t>S.</w:t>
      </w:r>
      <w:r>
        <w:rPr>
          <w:spacing w:val="25"/>
        </w:rPr>
        <w:t> </w:t>
      </w:r>
      <w:r>
        <w:rPr/>
        <w:t>(1994).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Commitment-Trust</w:t>
      </w:r>
      <w:r>
        <w:rPr>
          <w:spacing w:val="26"/>
        </w:rPr>
        <w:t> </w:t>
      </w:r>
      <w:r>
        <w:rPr/>
        <w:t>Theory</w:t>
      </w:r>
      <w:r>
        <w:rPr>
          <w:spacing w:val="18"/>
        </w:rPr>
        <w:t> </w:t>
      </w:r>
      <w:r>
        <w:rPr/>
        <w:t>of</w:t>
      </w:r>
      <w:r>
        <w:rPr>
          <w:spacing w:val="25"/>
        </w:rPr>
        <w:t> </w:t>
      </w:r>
      <w:r>
        <w:rPr/>
        <w:t>Relationship</w:t>
      </w:r>
      <w:r>
        <w:rPr>
          <w:spacing w:val="22"/>
        </w:rPr>
        <w:t> </w:t>
      </w:r>
      <w:r>
        <w:rPr/>
        <w:t>Marketing.</w:t>
      </w:r>
    </w:p>
    <w:p>
      <w:pPr>
        <w:spacing w:before="1"/>
        <w:ind w:left="956" w:right="0" w:firstLine="0"/>
        <w:jc w:val="left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Marketing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i/>
          <w:sz w:val="24"/>
        </w:rPr>
        <w:t>58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20-38.</w:t>
      </w:r>
      <w:r>
        <w:rPr>
          <w:spacing w:val="-2"/>
          <w:sz w:val="24"/>
        </w:rPr>
        <w:t> </w:t>
      </w:r>
      <w:hyperlink r:id="rId27">
        <w:r>
          <w:rPr>
            <w:color w:val="0462C1"/>
            <w:sz w:val="24"/>
            <w:u w:val="single" w:color="0462C1"/>
          </w:rPr>
          <w:t>https://doi.org/10.2307/1252308</w:t>
        </w:r>
      </w:hyperlink>
    </w:p>
    <w:p>
      <w:pPr>
        <w:pStyle w:val="BodyText"/>
        <w:ind w:left="956" w:right="119" w:hanging="720"/>
        <w:jc w:val="left"/>
      </w:pPr>
      <w:r>
        <w:rPr/>
        <w:t>Morgan,</w:t>
      </w:r>
      <w:r>
        <w:rPr>
          <w:spacing w:val="29"/>
        </w:rPr>
        <w:t> </w:t>
      </w:r>
      <w:r>
        <w:rPr/>
        <w:t>R.</w:t>
      </w:r>
      <w:r>
        <w:rPr>
          <w:spacing w:val="29"/>
        </w:rPr>
        <w:t> </w:t>
      </w:r>
      <w:r>
        <w:rPr/>
        <w:t>M.,</w:t>
      </w:r>
      <w:r>
        <w:rPr>
          <w:spacing w:val="29"/>
        </w:rPr>
        <w:t> </w:t>
      </w:r>
      <w:r>
        <w:rPr/>
        <w:t>&amp;</w:t>
      </w:r>
      <w:r>
        <w:rPr>
          <w:spacing w:val="30"/>
        </w:rPr>
        <w:t> </w:t>
      </w:r>
      <w:r>
        <w:rPr/>
        <w:t>Hunt,</w:t>
      </w:r>
      <w:r>
        <w:rPr>
          <w:spacing w:val="29"/>
        </w:rPr>
        <w:t> </w:t>
      </w:r>
      <w:r>
        <w:rPr/>
        <w:t>S.</w:t>
      </w:r>
      <w:r>
        <w:rPr>
          <w:spacing w:val="29"/>
        </w:rPr>
        <w:t> </w:t>
      </w:r>
      <w:r>
        <w:rPr/>
        <w:t>D.</w:t>
      </w:r>
      <w:r>
        <w:rPr>
          <w:spacing w:val="29"/>
        </w:rPr>
        <w:t> </w:t>
      </w:r>
      <w:r>
        <w:rPr/>
        <w:t>(1994).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commitment-trust</w:t>
      </w:r>
      <w:r>
        <w:rPr>
          <w:spacing w:val="30"/>
        </w:rPr>
        <w:t> </w:t>
      </w:r>
      <w:r>
        <w:rPr/>
        <w:t>theory</w:t>
      </w:r>
      <w:r>
        <w:rPr>
          <w:spacing w:val="22"/>
        </w:rPr>
        <w:t> </w:t>
      </w:r>
      <w:r>
        <w:rPr/>
        <w:t>of</w:t>
      </w:r>
      <w:r>
        <w:rPr>
          <w:spacing w:val="29"/>
        </w:rPr>
        <w:t> </w:t>
      </w:r>
      <w:r>
        <w:rPr/>
        <w:t>relationship</w:t>
      </w:r>
      <w:r>
        <w:rPr>
          <w:spacing w:val="-57"/>
        </w:rPr>
        <w:t> </w:t>
      </w:r>
      <w:r>
        <w:rPr/>
        <w:t>marketing,</w:t>
      </w:r>
      <w:r>
        <w:rPr>
          <w:spacing w:val="-1"/>
        </w:rPr>
        <w:t> </w:t>
      </w:r>
      <w:r>
        <w:rPr/>
        <w:t>.</w:t>
      </w:r>
      <w:r>
        <w:rPr>
          <w:spacing w:val="1"/>
        </w:rPr>
        <w:t> </w:t>
      </w:r>
      <w:r>
        <w:rPr>
          <w:i/>
        </w:rPr>
        <w:t>Journal of</w:t>
      </w:r>
      <w:r>
        <w:rPr>
          <w:i/>
          <w:spacing w:val="2"/>
        </w:rPr>
        <w:t> </w:t>
      </w:r>
      <w:r>
        <w:rPr>
          <w:i/>
        </w:rPr>
        <w:t>Marketing</w:t>
      </w:r>
      <w:r>
        <w:rPr/>
        <w:t>, </w:t>
      </w:r>
      <w:r>
        <w:rPr>
          <w:i/>
        </w:rPr>
        <w:t>58</w:t>
      </w:r>
      <w:r>
        <w:rPr/>
        <w:t>,</w:t>
      </w:r>
      <w:r>
        <w:rPr>
          <w:spacing w:val="-1"/>
        </w:rPr>
        <w:t> </w:t>
      </w:r>
      <w:r>
        <w:rPr/>
        <w:t>20-38.</w:t>
      </w:r>
    </w:p>
    <w:p>
      <w:pPr>
        <w:pStyle w:val="BodyText"/>
        <w:jc w:val="left"/>
      </w:pPr>
      <w:r>
        <w:rPr/>
        <w:t>Ong</w:t>
      </w:r>
      <w:r>
        <w:rPr>
          <w:spacing w:val="1"/>
        </w:rPr>
        <w:t> </w:t>
      </w:r>
      <w:r>
        <w:rPr/>
        <w:t>Chuan</w:t>
      </w:r>
      <w:r>
        <w:rPr>
          <w:spacing w:val="9"/>
        </w:rPr>
        <w:t> </w:t>
      </w:r>
      <w:r>
        <w:rPr/>
        <w:t>Huat,</w:t>
      </w:r>
      <w:r>
        <w:rPr>
          <w:spacing w:val="5"/>
        </w:rPr>
        <w:t> </w:t>
      </w:r>
      <w:r>
        <w:rPr/>
        <w:t>D.,</w:t>
      </w:r>
      <w:r>
        <w:rPr>
          <w:spacing w:val="13"/>
        </w:rPr>
        <w:t> </w:t>
      </w:r>
      <w:r>
        <w:rPr/>
        <w:t>Lee,</w:t>
      </w:r>
      <w:r>
        <w:rPr>
          <w:spacing w:val="9"/>
        </w:rPr>
        <w:t> </w:t>
      </w:r>
      <w:r>
        <w:rPr/>
        <w:t>H.,</w:t>
      </w:r>
      <w:r>
        <w:rPr>
          <w:spacing w:val="5"/>
        </w:rPr>
        <w:t> </w:t>
      </w:r>
      <w:r>
        <w:rPr/>
        <w:t>&amp;</w:t>
      </w:r>
      <w:r>
        <w:rPr>
          <w:spacing w:val="6"/>
        </w:rPr>
        <w:t> </w:t>
      </w:r>
      <w:r>
        <w:rPr/>
        <w:t>Ramayah,</w:t>
      </w:r>
      <w:r>
        <w:rPr>
          <w:spacing w:val="5"/>
        </w:rPr>
        <w:t> </w:t>
      </w:r>
      <w:r>
        <w:rPr/>
        <w:t>T.</w:t>
      </w:r>
      <w:r>
        <w:rPr>
          <w:spacing w:val="6"/>
        </w:rPr>
        <w:t> </w:t>
      </w:r>
      <w:r>
        <w:rPr/>
        <w:t>(2018).</w:t>
      </w:r>
      <w:r>
        <w:rPr>
          <w:spacing w:val="5"/>
        </w:rPr>
        <w:t> </w:t>
      </w:r>
      <w:r>
        <w:rPr/>
        <w:t>Impact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brand</w:t>
      </w:r>
      <w:r>
        <w:rPr>
          <w:spacing w:val="1"/>
        </w:rPr>
        <w:t> </w:t>
      </w:r>
      <w:r>
        <w:rPr/>
        <w:t>experience</w:t>
      </w:r>
      <w:r>
        <w:rPr>
          <w:spacing w:val="3"/>
        </w:rPr>
        <w:t> </w:t>
      </w:r>
      <w:r>
        <w:rPr/>
        <w:t>on</w:t>
      </w:r>
      <w:r>
        <w:rPr>
          <w:spacing w:val="6"/>
        </w:rPr>
        <w:t> </w:t>
      </w:r>
      <w:r>
        <w:rPr/>
        <w:t>loyalty.</w:t>
      </w:r>
    </w:p>
    <w:p>
      <w:pPr>
        <w:tabs>
          <w:tab w:pos="2263" w:val="left" w:leader="none"/>
          <w:tab w:pos="3010" w:val="left" w:leader="none"/>
          <w:tab w:pos="4632" w:val="left" w:leader="none"/>
          <w:tab w:pos="6187" w:val="left" w:leader="none"/>
          <w:tab w:pos="6930" w:val="left" w:leader="none"/>
          <w:tab w:pos="8810" w:val="left" w:leader="none"/>
        </w:tabs>
        <w:spacing w:before="0"/>
        <w:ind w:left="956" w:right="119" w:firstLine="0"/>
        <w:jc w:val="left"/>
        <w:rPr>
          <w:sz w:val="24"/>
        </w:rPr>
      </w:pPr>
      <w:r>
        <w:rPr/>
        <w:pict>
          <v:rect style="position:absolute;margin-left:106.830002pt;margin-top:26.413071pt;width:233.48pt;height:.60004pt;mso-position-horizontal-relative:page;mso-position-vertical-relative:paragraph;z-index:15730176" filled="true" fillcolor="#0462c1" stroked="false">
            <v:fill type="solid"/>
            <w10:wrap type="none"/>
          </v:rect>
        </w:pict>
      </w:r>
      <w:r>
        <w:rPr>
          <w:i/>
          <w:sz w:val="24"/>
        </w:rPr>
        <w:t>Journal</w:t>
        <w:tab/>
        <w:t>of</w:t>
        <w:tab/>
        <w:t>Hospitality</w:t>
        <w:tab/>
        <w:t>Marketing</w:t>
        <w:tab/>
        <w:t>&amp;</w:t>
        <w:tab/>
        <w:t>Management</w:t>
      </w:r>
      <w:r>
        <w:rPr>
          <w:sz w:val="24"/>
        </w:rPr>
        <w:t>,</w:t>
        <w:tab/>
      </w:r>
      <w:r>
        <w:rPr>
          <w:spacing w:val="-2"/>
          <w:sz w:val="24"/>
        </w:rPr>
        <w:t>1-20.</w:t>
      </w:r>
      <w:r>
        <w:rPr>
          <w:spacing w:val="-57"/>
          <w:sz w:val="24"/>
        </w:rPr>
        <w:t> </w:t>
      </w:r>
      <w:hyperlink r:id="rId28">
        <w:r>
          <w:rPr>
            <w:color w:val="0462C1"/>
            <w:sz w:val="24"/>
          </w:rPr>
          <w:t>https://doi.org/10.1080/19368623.2018.1445055</w:t>
        </w:r>
      </w:hyperlink>
    </w:p>
    <w:p>
      <w:pPr>
        <w:pStyle w:val="BodyText"/>
        <w:ind w:left="956" w:right="115" w:hanging="720"/>
      </w:pPr>
      <w:r>
        <w:rPr/>
        <w:pict>
          <v:rect style="position:absolute;margin-left:340.100006pt;margin-top:40.223145pt;width:184.48pt;height:.599980pt;mso-position-horizontal-relative:page;mso-position-vertical-relative:paragraph;z-index:-16221184" filled="true" fillcolor="#0462c1" stroked="false">
            <v:fill type="solid"/>
            <w10:wrap type="none"/>
          </v:rect>
        </w:pict>
      </w:r>
      <w:r>
        <w:rPr/>
        <w:t>Rather, R. A., Tehseen, S., &amp; Parrey, S.</w:t>
      </w:r>
      <w:r>
        <w:rPr>
          <w:spacing w:val="1"/>
        </w:rPr>
        <w:t> </w:t>
      </w:r>
      <w:r>
        <w:rPr/>
        <w:t>H. (2018).</w:t>
      </w:r>
      <w:r>
        <w:rPr>
          <w:spacing w:val="60"/>
        </w:rPr>
        <w:t> </w:t>
      </w:r>
      <w:r>
        <w:rPr/>
        <w:t>Promoting customer brand engagement</w:t>
      </w:r>
      <w:r>
        <w:rPr>
          <w:spacing w:val="1"/>
        </w:rPr>
        <w:t> </w:t>
      </w:r>
      <w:r>
        <w:rPr/>
        <w:t>and brand loyalty through customer brand identification and value congruity. </w:t>
      </w:r>
      <w:r>
        <w:rPr>
          <w:i/>
        </w:rPr>
        <w:t>Spanish</w:t>
      </w:r>
      <w:r>
        <w:rPr>
          <w:i/>
          <w:spacing w:val="1"/>
        </w:rPr>
        <w:t> </w:t>
      </w:r>
      <w:r>
        <w:rPr>
          <w:i/>
        </w:rPr>
        <w:t>Journal of Marketing - ESIC</w:t>
      </w:r>
      <w:r>
        <w:rPr/>
        <w:t>, </w:t>
      </w:r>
      <w:r>
        <w:rPr>
          <w:i/>
        </w:rPr>
        <w:t>22</w:t>
      </w:r>
      <w:r>
        <w:rPr/>
        <w:t>(3), 319-337. </w:t>
      </w:r>
      <w:hyperlink r:id="rId29">
        <w:r>
          <w:rPr>
            <w:color w:val="0462C1"/>
          </w:rPr>
          <w:t>https://doi.org/10.1108/sjme-06-2018-</w:t>
        </w:r>
      </w:hyperlink>
      <w:r>
        <w:rPr>
          <w:color w:val="0462C1"/>
          <w:spacing w:val="1"/>
        </w:rPr>
        <w:t> </w:t>
      </w:r>
      <w:hyperlink r:id="rId29">
        <w:r>
          <w:rPr>
            <w:color w:val="0462C1"/>
            <w:u w:val="single" w:color="0462C1"/>
          </w:rPr>
          <w:t>0030</w:t>
        </w:r>
      </w:hyperlink>
    </w:p>
    <w:p>
      <w:pPr>
        <w:pStyle w:val="BodyText"/>
        <w:spacing w:before="1"/>
        <w:ind w:left="956" w:right="115" w:hanging="720"/>
      </w:pPr>
      <w:r>
        <w:rPr/>
        <w:t>Roy, S., Raju, A., &amp; Mandal, S. (2017). An empirical investigation on e-retailer agility,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satisfaction,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loyalty.</w:t>
      </w:r>
      <w:r>
        <w:rPr>
          <w:spacing w:val="1"/>
        </w:rPr>
        <w:t> </w:t>
      </w:r>
      <w:r>
        <w:rPr>
          <w:i/>
        </w:rPr>
        <w:t>BUSINESS:</w:t>
      </w:r>
      <w:r>
        <w:rPr>
          <w:i/>
          <w:spacing w:val="1"/>
        </w:rPr>
        <w:t> </w:t>
      </w:r>
      <w:r>
        <w:rPr>
          <w:i/>
        </w:rPr>
        <w:t>THEORY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PRACTICE</w:t>
      </w:r>
      <w:r>
        <w:rPr/>
        <w:t>,</w:t>
      </w:r>
      <w:r>
        <w:rPr>
          <w:spacing w:val="-1"/>
        </w:rPr>
        <w:t> </w:t>
      </w:r>
      <w:r>
        <w:rPr>
          <w:i/>
        </w:rPr>
        <w:t>18</w:t>
      </w:r>
      <w:r>
        <w:rPr/>
        <w:t>(1), 97-108.</w:t>
      </w:r>
      <w:r>
        <w:rPr>
          <w:spacing w:val="-1"/>
        </w:rPr>
        <w:t> </w:t>
      </w:r>
      <w:hyperlink r:id="rId30">
        <w:r>
          <w:rPr>
            <w:color w:val="0462C1"/>
            <w:u w:val="single" w:color="0462C1"/>
          </w:rPr>
          <w:t>https://doi.org/10.3846/btp.2017.011</w:t>
        </w:r>
      </w:hyperlink>
    </w:p>
    <w:p>
      <w:pPr>
        <w:pStyle w:val="BodyText"/>
        <w:ind w:left="956" w:right="115" w:hanging="720"/>
      </w:pPr>
      <w:r>
        <w:rPr/>
        <w:t>Sahin, A., Zehir, C., &amp; Kitapçı, H. (2011). The Effects of Brand Experiences, Trust and</w:t>
      </w:r>
      <w:r>
        <w:rPr>
          <w:spacing w:val="1"/>
        </w:rPr>
        <w:t> </w:t>
      </w:r>
      <w:r>
        <w:rPr/>
        <w:t>Satisfaction on Building Brand Loyalty; An Empirical Research On Global Brands.</w:t>
      </w:r>
      <w:r>
        <w:rPr>
          <w:spacing w:val="1"/>
        </w:rPr>
        <w:t> </w:t>
      </w:r>
      <w:r>
        <w:rPr>
          <w:i/>
        </w:rPr>
        <w:t>Procedia</w:t>
      </w:r>
      <w:r>
        <w:rPr>
          <w:i/>
          <w:spacing w:val="20"/>
        </w:rPr>
        <w:t> </w:t>
      </w:r>
      <w:r>
        <w:rPr>
          <w:i/>
        </w:rPr>
        <w:t>-</w:t>
      </w:r>
      <w:r>
        <w:rPr>
          <w:i/>
          <w:spacing w:val="19"/>
        </w:rPr>
        <w:t> </w:t>
      </w:r>
      <w:r>
        <w:rPr>
          <w:i/>
        </w:rPr>
        <w:t>Social</w:t>
      </w:r>
      <w:r>
        <w:rPr>
          <w:i/>
          <w:spacing w:val="19"/>
        </w:rPr>
        <w:t> </w:t>
      </w:r>
      <w:r>
        <w:rPr>
          <w:i/>
        </w:rPr>
        <w:t>and</w:t>
      </w:r>
      <w:r>
        <w:rPr>
          <w:i/>
          <w:spacing w:val="15"/>
        </w:rPr>
        <w:t> </w:t>
      </w:r>
      <w:r>
        <w:rPr>
          <w:i/>
        </w:rPr>
        <w:t>Behavioral</w:t>
      </w:r>
      <w:r>
        <w:rPr>
          <w:i/>
          <w:spacing w:val="19"/>
        </w:rPr>
        <w:t> </w:t>
      </w:r>
      <w:r>
        <w:rPr>
          <w:i/>
        </w:rPr>
        <w:t>Sciences</w:t>
      </w:r>
      <w:r>
        <w:rPr/>
        <w:t>,</w:t>
      </w:r>
      <w:r>
        <w:rPr>
          <w:spacing w:val="19"/>
        </w:rPr>
        <w:t> </w:t>
      </w:r>
      <w:r>
        <w:rPr>
          <w:i/>
        </w:rPr>
        <w:t>24</w:t>
      </w:r>
      <w:r>
        <w:rPr/>
        <w:t>,</w:t>
      </w:r>
      <w:r>
        <w:rPr>
          <w:spacing w:val="19"/>
        </w:rPr>
        <w:t> </w:t>
      </w:r>
      <w:r>
        <w:rPr/>
        <w:t>1288-1301.</w:t>
      </w:r>
    </w:p>
    <w:p>
      <w:pPr>
        <w:pStyle w:val="BodyText"/>
        <w:ind w:left="956"/>
        <w:jc w:val="left"/>
      </w:pPr>
      <w:hyperlink r:id="rId31">
        <w:r>
          <w:rPr>
            <w:color w:val="0462C1"/>
            <w:u w:val="single" w:color="0462C1"/>
          </w:rPr>
          <w:t>https://doi.org/10.1016/j.sbspro.2011.09.143</w:t>
        </w:r>
      </w:hyperlink>
    </w:p>
    <w:p>
      <w:pPr>
        <w:spacing w:before="0"/>
        <w:ind w:left="956" w:right="110" w:hanging="720"/>
        <w:jc w:val="both"/>
        <w:rPr>
          <w:sz w:val="24"/>
        </w:rPr>
      </w:pPr>
      <w:r>
        <w:rPr>
          <w:sz w:val="24"/>
        </w:rPr>
        <w:t>Şahin, A., Zehir, C., &amp; Kitapci, H. (2012). </w:t>
      </w:r>
      <w:r>
        <w:rPr>
          <w:i/>
          <w:sz w:val="24"/>
        </w:rPr>
        <w:t>The effects of brand experience and service quality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repurchase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intention: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quality</w:t>
      </w:r>
      <w:r>
        <w:rPr>
          <w:sz w:val="24"/>
        </w:rPr>
        <w:t>.</w:t>
      </w:r>
      <w:r>
        <w:rPr>
          <w:spacing w:val="1"/>
          <w:sz w:val="24"/>
        </w:rPr>
        <w:t> </w:t>
      </w:r>
      <w:hyperlink r:id="rId32">
        <w:r>
          <w:rPr>
            <w:color w:val="0462C1"/>
            <w:sz w:val="24"/>
            <w:u w:val="single" w:color="0462C1"/>
          </w:rPr>
          <w:t>https://doi.org/10.5897/AJBM11.2164</w:t>
        </w:r>
      </w:hyperlink>
    </w:p>
    <w:p>
      <w:pPr>
        <w:spacing w:after="0"/>
        <w:jc w:val="both"/>
        <w:rPr>
          <w:sz w:val="24"/>
        </w:rPr>
        <w:sectPr>
          <w:pgSz w:w="11910" w:h="16840"/>
          <w:pgMar w:header="0" w:footer="998" w:top="1320" w:bottom="1180" w:left="1180" w:right="1300"/>
        </w:sectPr>
      </w:pPr>
    </w:p>
    <w:p>
      <w:pPr>
        <w:pStyle w:val="BodyText"/>
        <w:spacing w:before="72"/>
        <w:ind w:left="956" w:right="118" w:hanging="720"/>
      </w:pPr>
      <w:r>
        <w:rPr/>
        <w:t>Schmitt, B., Zarantonello, L., &amp; Brakus, J. (2009). Brand experience: What Is It? How Is It</w:t>
      </w:r>
      <w:r>
        <w:rPr>
          <w:spacing w:val="1"/>
        </w:rPr>
        <w:t> </w:t>
      </w:r>
      <w:r>
        <w:rPr/>
        <w:t>Measured?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Loyalty?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Marketing</w:t>
      </w:r>
      <w:r>
        <w:rPr/>
        <w:t>,</w:t>
      </w:r>
      <w:r>
        <w:rPr>
          <w:spacing w:val="1"/>
        </w:rPr>
        <w:t> </w:t>
      </w:r>
      <w:r>
        <w:rPr>
          <w:i/>
        </w:rPr>
        <w:t>73</w:t>
      </w:r>
      <w:r>
        <w:rPr/>
        <w:t>.</w:t>
      </w:r>
      <w:r>
        <w:rPr>
          <w:spacing w:val="1"/>
        </w:rPr>
        <w:t> </w:t>
      </w:r>
      <w:hyperlink r:id="rId33">
        <w:r>
          <w:rPr>
            <w:color w:val="0462C1"/>
            <w:u w:val="single" w:color="0462C1"/>
          </w:rPr>
          <w:t>https://doi.org/10.1509/jmkg.73.3.52</w:t>
        </w:r>
      </w:hyperlink>
    </w:p>
    <w:p>
      <w:pPr>
        <w:spacing w:before="0"/>
        <w:ind w:left="956" w:right="122" w:hanging="720"/>
        <w:jc w:val="both"/>
        <w:rPr>
          <w:sz w:val="24"/>
        </w:rPr>
      </w:pPr>
      <w:r>
        <w:rPr>
          <w:sz w:val="24"/>
        </w:rPr>
        <w:t>Song, H., &amp; Wang, J. (2019). Effect of image, satisfaction, trust, love, and respect on loyalty</w:t>
      </w:r>
      <w:r>
        <w:rPr>
          <w:spacing w:val="1"/>
          <w:sz w:val="24"/>
        </w:rPr>
        <w:t> </w:t>
      </w:r>
      <w:r>
        <w:rPr>
          <w:sz w:val="24"/>
        </w:rPr>
        <w:t>formation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name-brand</w:t>
      </w:r>
      <w:r>
        <w:rPr>
          <w:spacing w:val="1"/>
          <w:sz w:val="24"/>
        </w:rPr>
        <w:t> </w:t>
      </w:r>
      <w:r>
        <w:rPr>
          <w:sz w:val="24"/>
        </w:rPr>
        <w:t>coffee</w:t>
      </w:r>
      <w:r>
        <w:rPr>
          <w:spacing w:val="1"/>
          <w:sz w:val="24"/>
        </w:rPr>
        <w:t> </w:t>
      </w:r>
      <w:r>
        <w:rPr>
          <w:sz w:val="24"/>
        </w:rPr>
        <w:t>shops.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Hospitality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79</w:t>
      </w:r>
      <w:r>
        <w:rPr>
          <w:sz w:val="24"/>
        </w:rPr>
        <w:t>, 50-59.</w:t>
      </w:r>
      <w:r>
        <w:rPr>
          <w:spacing w:val="-1"/>
          <w:sz w:val="24"/>
        </w:rPr>
        <w:t> </w:t>
      </w:r>
      <w:hyperlink r:id="rId34">
        <w:r>
          <w:rPr>
            <w:color w:val="0462C1"/>
            <w:sz w:val="24"/>
            <w:u w:val="single" w:color="0462C1"/>
          </w:rPr>
          <w:t>https://doi.org/10.1016/j.ijhm.2018.12.011</w:t>
        </w:r>
      </w:hyperlink>
    </w:p>
    <w:p>
      <w:pPr>
        <w:tabs>
          <w:tab w:pos="1787" w:val="left" w:leader="none"/>
          <w:tab w:pos="3830" w:val="left" w:leader="none"/>
          <w:tab w:pos="5540" w:val="left" w:leader="none"/>
          <w:tab w:pos="7506" w:val="left" w:leader="none"/>
        </w:tabs>
        <w:spacing w:before="0"/>
        <w:ind w:left="956" w:right="115" w:hanging="720"/>
        <w:jc w:val="both"/>
        <w:rPr>
          <w:sz w:val="24"/>
        </w:rPr>
      </w:pPr>
      <w:r>
        <w:rPr>
          <w:sz w:val="24"/>
        </w:rPr>
        <w:t>Tepeci, M. (1999). Increasing brand loyalty in the hospitality industry. </w:t>
      </w:r>
      <w:r>
        <w:rPr>
          <w:i/>
          <w:sz w:val="24"/>
        </w:rPr>
        <w:t>International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  <w:tab/>
        <w:t>Contemporary</w:t>
        <w:tab/>
        <w:t>Hospitality</w:t>
        <w:tab/>
        <w:t>Management</w:t>
      </w:r>
      <w:r>
        <w:rPr>
          <w:sz w:val="24"/>
        </w:rPr>
        <w:t>,</w:t>
        <w:tab/>
      </w:r>
      <w:r>
        <w:rPr>
          <w:i/>
          <w:sz w:val="24"/>
        </w:rPr>
        <w:t>11</w:t>
      </w:r>
      <w:r>
        <w:rPr>
          <w:sz w:val="24"/>
        </w:rPr>
        <w:t>,</w:t>
      </w:r>
      <w:r>
        <w:rPr>
          <w:spacing w:val="28"/>
          <w:sz w:val="24"/>
        </w:rPr>
        <w:t> </w:t>
      </w:r>
      <w:r>
        <w:rPr>
          <w:sz w:val="24"/>
        </w:rPr>
        <w:t>223-230.</w:t>
      </w:r>
    </w:p>
    <w:p>
      <w:pPr>
        <w:pStyle w:val="BodyText"/>
        <w:spacing w:before="1"/>
        <w:ind w:left="956"/>
        <w:jc w:val="left"/>
      </w:pPr>
      <w:hyperlink r:id="rId35">
        <w:r>
          <w:rPr>
            <w:color w:val="0462C1"/>
            <w:u w:val="single" w:color="0462C1"/>
          </w:rPr>
          <w:t>https://doi.org/10.1108/09596119910272757</w:t>
        </w:r>
      </w:hyperlink>
    </w:p>
    <w:p>
      <w:pPr>
        <w:pStyle w:val="BodyText"/>
        <w:ind w:left="956" w:right="117" w:hanging="720"/>
      </w:pPr>
      <w:r>
        <w:rPr/>
        <w:t>Yohanes Surya, K. (2014). Pengaruh Brand Experience Terhadap Brand Loyalty Melalui</w:t>
      </w:r>
      <w:r>
        <w:rPr>
          <w:spacing w:val="1"/>
        </w:rPr>
        <w:t> </w:t>
      </w:r>
      <w:r>
        <w:rPr/>
        <w:t>Brand Satisfaction Dan Brand Trust Harley Davidson Di Surabaya. </w:t>
      </w:r>
      <w:r>
        <w:rPr>
          <w:i/>
        </w:rPr>
        <w:t>Jurnal Strategi</w:t>
      </w:r>
      <w:r>
        <w:rPr>
          <w:i/>
          <w:spacing w:val="1"/>
        </w:rPr>
        <w:t> </w:t>
      </w:r>
      <w:r>
        <w:rPr>
          <w:i/>
        </w:rPr>
        <w:t>Pemasaran</w:t>
      </w:r>
      <w:r>
        <w:rPr/>
        <w:t>,</w:t>
      </w:r>
      <w:r>
        <w:rPr>
          <w:spacing w:val="-1"/>
        </w:rPr>
        <w:t> </w:t>
      </w:r>
      <w:r>
        <w:rPr>
          <w:i/>
        </w:rPr>
        <w:t>2</w:t>
      </w:r>
      <w:r>
        <w:rPr/>
        <w:t>(1), 1-11.</w:t>
      </w:r>
    </w:p>
    <w:p>
      <w:pPr>
        <w:pStyle w:val="BodyText"/>
        <w:ind w:left="956" w:right="118" w:hanging="720"/>
      </w:pPr>
      <w:r>
        <w:rPr/>
        <w:t>Zarantonello,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Schmitt,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Predict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Behavior.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Brand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/>
        <w:t>,</w:t>
      </w:r>
      <w:r>
        <w:rPr>
          <w:spacing w:val="1"/>
        </w:rPr>
        <w:t> </w:t>
      </w:r>
      <w:r>
        <w:rPr>
          <w:i/>
        </w:rPr>
        <w:t>17</w:t>
      </w:r>
      <w:r>
        <w:rPr/>
        <w:t>.</w:t>
      </w:r>
      <w:r>
        <w:rPr>
          <w:spacing w:val="1"/>
        </w:rPr>
        <w:t> </w:t>
      </w:r>
      <w:hyperlink r:id="rId36">
        <w:r>
          <w:rPr>
            <w:color w:val="0462C1"/>
            <w:u w:val="single" w:color="0462C1"/>
          </w:rPr>
          <w:t>https://doi.org/10.1057/bm.2010.4</w:t>
        </w:r>
      </w:hyperlink>
    </w:p>
    <w:sectPr>
      <w:pgSz w:w="11910" w:h="16840"/>
      <w:pgMar w:header="0" w:footer="998" w:top="1320" w:bottom="1180" w:left="11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100006pt;margin-top:780.924988pt;width:17.2pt;height:13pt;mso-position-horizontal-relative:page;mso-position-vertical-relative:page;z-index:-16223232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36"/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74" w:lineRule="exact"/>
      <w:ind w:left="236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1824" w:right="1708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sugianto@polteq.ac.id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doi.org/10.2307/41165748" TargetMode="External"/><Relationship Id="rId10" Type="http://schemas.openxmlformats.org/officeDocument/2006/relationships/hyperlink" Target="https://doi.org/10.5296/jsr.v5i1.6568" TargetMode="External"/><Relationship Id="rId11" Type="http://schemas.openxmlformats.org/officeDocument/2006/relationships/hyperlink" Target="https://doi.org/10.1002/mar.10063" TargetMode="External"/><Relationship Id="rId12" Type="http://schemas.openxmlformats.org/officeDocument/2006/relationships/hyperlink" Target="https://doi.org/10.19030/iber.v12i10.8138" TargetMode="External"/><Relationship Id="rId13" Type="http://schemas.openxmlformats.org/officeDocument/2006/relationships/hyperlink" Target="https://doi.org/10.1108/03090560710773309" TargetMode="External"/><Relationship Id="rId14" Type="http://schemas.openxmlformats.org/officeDocument/2006/relationships/hyperlink" Target="https://doi.org/10.1207/S15327663JCP1303_14" TargetMode="External"/><Relationship Id="rId15" Type="http://schemas.openxmlformats.org/officeDocument/2006/relationships/hyperlink" Target="https://doi.org/10.1086/209515" TargetMode="External"/><Relationship Id="rId16" Type="http://schemas.openxmlformats.org/officeDocument/2006/relationships/hyperlink" Target="https://doi.org/10.1002/cb.29" TargetMode="External"/><Relationship Id="rId17" Type="http://schemas.openxmlformats.org/officeDocument/2006/relationships/hyperlink" Target="https://doi.org/10.1002/dir.1021" TargetMode="External"/><Relationship Id="rId18" Type="http://schemas.openxmlformats.org/officeDocument/2006/relationships/hyperlink" Target="https://doi.org/10.1057/bm.2010.58" TargetMode="External"/><Relationship Id="rId19" Type="http://schemas.openxmlformats.org/officeDocument/2006/relationships/hyperlink" Target="https://doi.org/10.1509/jmkg.70.2.122" TargetMode="External"/><Relationship Id="rId20" Type="http://schemas.openxmlformats.org/officeDocument/2006/relationships/hyperlink" Target="https://doi.org/10.7903/cmr.11086" TargetMode="External"/><Relationship Id="rId21" Type="http://schemas.openxmlformats.org/officeDocument/2006/relationships/hyperlink" Target="https://doi.org/10.1016/j.jretconser.2015.02.003" TargetMode="External"/><Relationship Id="rId22" Type="http://schemas.openxmlformats.org/officeDocument/2006/relationships/hyperlink" Target="https://doi.org/10.20460/JGSM.2012615788" TargetMode="External"/><Relationship Id="rId23" Type="http://schemas.openxmlformats.org/officeDocument/2006/relationships/hyperlink" Target="https://doi.org/10.1108/JOSM-01-2013-0025" TargetMode="External"/><Relationship Id="rId24" Type="http://schemas.openxmlformats.org/officeDocument/2006/relationships/hyperlink" Target="https://doi.org/10.6007/IJARBSS/v7-i4/2821" TargetMode="External"/><Relationship Id="rId25" Type="http://schemas.openxmlformats.org/officeDocument/2006/relationships/hyperlink" Target="https://doi.org/10.1108/03090561211230098" TargetMode="External"/><Relationship Id="rId26" Type="http://schemas.openxmlformats.org/officeDocument/2006/relationships/hyperlink" Target="https://doi.org/10.2307/3172742" TargetMode="External"/><Relationship Id="rId27" Type="http://schemas.openxmlformats.org/officeDocument/2006/relationships/hyperlink" Target="https://doi.org/10.2307/1252308" TargetMode="External"/><Relationship Id="rId28" Type="http://schemas.openxmlformats.org/officeDocument/2006/relationships/hyperlink" Target="https://doi.org/10.1080/19368623.2018.1445055" TargetMode="External"/><Relationship Id="rId29" Type="http://schemas.openxmlformats.org/officeDocument/2006/relationships/hyperlink" Target="https://doi.org/10.1108/sjme-06-2018-0030" TargetMode="External"/><Relationship Id="rId30" Type="http://schemas.openxmlformats.org/officeDocument/2006/relationships/hyperlink" Target="https://doi.org/10.3846/btp.2017.011" TargetMode="External"/><Relationship Id="rId31" Type="http://schemas.openxmlformats.org/officeDocument/2006/relationships/hyperlink" Target="https://doi.org/10.1016/j.sbspro.2011.09.143" TargetMode="External"/><Relationship Id="rId32" Type="http://schemas.openxmlformats.org/officeDocument/2006/relationships/hyperlink" Target="https://doi.org/10.5897/AJBM11.2164" TargetMode="External"/><Relationship Id="rId33" Type="http://schemas.openxmlformats.org/officeDocument/2006/relationships/hyperlink" Target="https://doi.org/10.1509/jmkg.73.3.52" TargetMode="External"/><Relationship Id="rId34" Type="http://schemas.openxmlformats.org/officeDocument/2006/relationships/hyperlink" Target="https://doi.org/10.1016/j.ijhm.2018.12.011" TargetMode="External"/><Relationship Id="rId35" Type="http://schemas.openxmlformats.org/officeDocument/2006/relationships/hyperlink" Target="https://doi.org/10.1108/09596119910272757" TargetMode="External"/><Relationship Id="rId36" Type="http://schemas.openxmlformats.org/officeDocument/2006/relationships/hyperlink" Target="https://doi.org/10.1057/bm.2010.4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2022-10-10T09:23:03Z</dcterms:created>
  <dcterms:modified xsi:type="dcterms:W3CDTF">2022-10-10T09:23:03Z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2022-10-10T00:00:00Z</vt:filetime>
  </property>
</Properties>
</file>